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D5C00" w14:textId="77777777" w:rsidR="00D612A6" w:rsidRDefault="00AA446E">
      <w:pPr>
        <w:jc w:val="center"/>
        <w:rPr>
          <w:sz w:val="32"/>
          <w:szCs w:val="32"/>
        </w:rPr>
      </w:pPr>
      <w:r>
        <w:rPr>
          <w:noProof/>
          <w:sz w:val="32"/>
          <w:szCs w:val="32"/>
        </w:rPr>
        <w:drawing>
          <wp:inline distT="0" distB="0" distL="0" distR="0" wp14:anchorId="6688B9D6" wp14:editId="264E21C8">
            <wp:extent cx="1060450" cy="1060450"/>
            <wp:effectExtent l="0" t="0" r="0" b="0"/>
            <wp:docPr id="1" name="image2.png" descr="codaLogo2"/>
            <wp:cNvGraphicFramePr/>
            <a:graphic xmlns:a="http://schemas.openxmlformats.org/drawingml/2006/main">
              <a:graphicData uri="http://schemas.openxmlformats.org/drawingml/2006/picture">
                <pic:pic xmlns:pic="http://schemas.openxmlformats.org/drawingml/2006/picture">
                  <pic:nvPicPr>
                    <pic:cNvPr id="0" name="image2.png" descr="codaLogo2"/>
                    <pic:cNvPicPr preferRelativeResize="0"/>
                  </pic:nvPicPr>
                  <pic:blipFill>
                    <a:blip r:embed="rId6"/>
                    <a:srcRect/>
                    <a:stretch>
                      <a:fillRect/>
                    </a:stretch>
                  </pic:blipFill>
                  <pic:spPr>
                    <a:xfrm>
                      <a:off x="0" y="0"/>
                      <a:ext cx="1060450" cy="1060450"/>
                    </a:xfrm>
                    <a:prstGeom prst="rect">
                      <a:avLst/>
                    </a:prstGeom>
                    <a:ln/>
                  </pic:spPr>
                </pic:pic>
              </a:graphicData>
            </a:graphic>
          </wp:inline>
        </w:drawing>
      </w:r>
      <w:bookmarkStart w:id="0" w:name="_GoBack"/>
      <w:bookmarkEnd w:id="0"/>
    </w:p>
    <w:p w14:paraId="282F4371" w14:textId="77777777" w:rsidR="00D612A6" w:rsidRDefault="00D612A6">
      <w:pPr>
        <w:jc w:val="center"/>
        <w:rPr>
          <w:sz w:val="32"/>
          <w:szCs w:val="32"/>
        </w:rPr>
      </w:pPr>
    </w:p>
    <w:p w14:paraId="383B1EEB" w14:textId="77777777" w:rsidR="00D612A6" w:rsidRDefault="00AA446E">
      <w:pPr>
        <w:jc w:val="center"/>
        <w:rPr>
          <w:b/>
          <w:sz w:val="32"/>
          <w:szCs w:val="32"/>
        </w:rPr>
      </w:pPr>
      <w:r>
        <w:rPr>
          <w:b/>
          <w:sz w:val="32"/>
          <w:szCs w:val="32"/>
        </w:rPr>
        <w:t>CoDA Service Conference 2018</w:t>
      </w:r>
    </w:p>
    <w:p w14:paraId="4F1DE12E" w14:textId="77777777" w:rsidR="00D612A6" w:rsidRDefault="00D612A6">
      <w:pPr>
        <w:jc w:val="center"/>
        <w:rPr>
          <w:b/>
          <w:sz w:val="32"/>
          <w:szCs w:val="32"/>
        </w:rPr>
      </w:pPr>
    </w:p>
    <w:p w14:paraId="48548A50" w14:textId="77777777" w:rsidR="00D612A6" w:rsidRDefault="00AA446E">
      <w:pPr>
        <w:jc w:val="center"/>
        <w:rPr>
          <w:b/>
          <w:sz w:val="32"/>
          <w:szCs w:val="32"/>
        </w:rPr>
      </w:pPr>
      <w:r>
        <w:rPr>
          <w:b/>
          <w:sz w:val="32"/>
          <w:szCs w:val="32"/>
        </w:rPr>
        <w:t xml:space="preserve">Motion Form </w:t>
      </w:r>
    </w:p>
    <w:p w14:paraId="6E4AE86A" w14:textId="77777777" w:rsidR="00D612A6" w:rsidRDefault="00AA446E">
      <w:pPr>
        <w:rPr>
          <w:b/>
          <w:sz w:val="32"/>
          <w:szCs w:val="32"/>
        </w:rPr>
      </w:pPr>
      <w:r>
        <w:rPr>
          <w:b/>
          <w:sz w:val="32"/>
          <w:szCs w:val="32"/>
        </w:rPr>
        <w:t>Committee: Service Structure</w:t>
      </w:r>
      <w:r>
        <w:rPr>
          <w:b/>
          <w:sz w:val="32"/>
          <w:szCs w:val="32"/>
        </w:rPr>
        <w:tab/>
        <w:t>Date:  6/27/18</w:t>
      </w:r>
    </w:p>
    <w:p w14:paraId="4AC3240B" w14:textId="3700F835" w:rsidR="00D612A6" w:rsidRDefault="00AA446E">
      <w:pPr>
        <w:rPr>
          <w:b/>
          <w:sz w:val="32"/>
          <w:szCs w:val="32"/>
        </w:rPr>
      </w:pPr>
      <w:r>
        <w:rPr>
          <w:b/>
          <w:sz w:val="32"/>
          <w:szCs w:val="32"/>
        </w:rPr>
        <w:t>Motion Number:  SSC #1</w:t>
      </w:r>
      <w:r>
        <w:rPr>
          <w:b/>
          <w:sz w:val="32"/>
          <w:szCs w:val="32"/>
        </w:rPr>
        <w:tab/>
      </w:r>
      <w:r>
        <w:rPr>
          <w:b/>
          <w:sz w:val="32"/>
          <w:szCs w:val="32"/>
        </w:rPr>
        <w:tab/>
        <w:t>Revision #:</w:t>
      </w:r>
      <w:r w:rsidR="008B561F">
        <w:rPr>
          <w:b/>
          <w:sz w:val="32"/>
          <w:szCs w:val="32"/>
        </w:rPr>
        <w:t xml:space="preserve"> 1</w:t>
      </w:r>
    </w:p>
    <w:p w14:paraId="3B4A8573" w14:textId="59FD8B03" w:rsidR="00D612A6" w:rsidRDefault="00AA446E">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Revision Date:</w:t>
      </w:r>
      <w:r w:rsidR="008B561F">
        <w:rPr>
          <w:b/>
          <w:sz w:val="32"/>
          <w:szCs w:val="32"/>
        </w:rPr>
        <w:t xml:space="preserve"> 8/</w:t>
      </w:r>
      <w:r w:rsidR="00B60F57">
        <w:rPr>
          <w:b/>
          <w:sz w:val="32"/>
          <w:szCs w:val="32"/>
        </w:rPr>
        <w:t>7</w:t>
      </w:r>
      <w:r w:rsidR="008B561F">
        <w:rPr>
          <w:b/>
          <w:sz w:val="32"/>
          <w:szCs w:val="32"/>
        </w:rPr>
        <w:t>/18</w:t>
      </w:r>
    </w:p>
    <w:p w14:paraId="34EE633F" w14:textId="77777777" w:rsidR="00D612A6" w:rsidRDefault="00D612A6">
      <w:pPr>
        <w:rPr>
          <w:b/>
          <w:sz w:val="32"/>
          <w:szCs w:val="32"/>
        </w:rPr>
      </w:pPr>
    </w:p>
    <w:p w14:paraId="386232E4" w14:textId="77777777" w:rsidR="00D612A6" w:rsidRDefault="00AA446E">
      <w:pPr>
        <w:rPr>
          <w:b/>
          <w:sz w:val="32"/>
          <w:szCs w:val="32"/>
          <w:u w:val="single"/>
        </w:rPr>
      </w:pPr>
      <w:r>
        <w:rPr>
          <w:b/>
          <w:sz w:val="32"/>
          <w:szCs w:val="32"/>
          <w:u w:val="single"/>
        </w:rPr>
        <w:t xml:space="preserve">Result (data entry purposes </w:t>
      </w:r>
      <w:proofErr w:type="gramStart"/>
      <w:r>
        <w:rPr>
          <w:b/>
          <w:sz w:val="32"/>
          <w:szCs w:val="32"/>
          <w:u w:val="single"/>
        </w:rPr>
        <w:t>only)_</w:t>
      </w:r>
      <w:proofErr w:type="gramEnd"/>
      <w:r>
        <w:rPr>
          <w:b/>
          <w:sz w:val="32"/>
          <w:szCs w:val="32"/>
          <w:u w:val="single"/>
        </w:rPr>
        <w:t>__________________</w:t>
      </w:r>
    </w:p>
    <w:p w14:paraId="2A4727DA" w14:textId="77777777" w:rsidR="00D612A6" w:rsidRDefault="00AA446E">
      <w:pPr>
        <w:rPr>
          <w:b/>
          <w:sz w:val="32"/>
          <w:szCs w:val="32"/>
        </w:rPr>
      </w:pPr>
      <w:bookmarkStart w:id="1" w:name="_gjdgxs" w:colFirst="0" w:colLast="0"/>
      <w:bookmarkEnd w:id="1"/>
      <w:r>
        <w:rPr>
          <w:b/>
          <w:sz w:val="32"/>
          <w:szCs w:val="32"/>
        </w:rPr>
        <w:t xml:space="preserve">Motion: That the following be added to the Fellowship Service Manual (FSM) Part 4 page 11 as </w:t>
      </w:r>
      <w:proofErr w:type="gramStart"/>
      <w:r>
        <w:rPr>
          <w:b/>
          <w:sz w:val="32"/>
          <w:szCs w:val="32"/>
        </w:rPr>
        <w:t>item ”I</w:t>
      </w:r>
      <w:proofErr w:type="gramEnd"/>
      <w:r>
        <w:rPr>
          <w:b/>
          <w:sz w:val="32"/>
          <w:szCs w:val="32"/>
        </w:rPr>
        <w:t xml:space="preserve">” under “Guidelines for Presenting Voting Entity Issues to CSC”:     </w:t>
      </w:r>
    </w:p>
    <w:p w14:paraId="06D09391" w14:textId="77777777" w:rsidR="00D612A6" w:rsidRDefault="00D612A6">
      <w:pPr>
        <w:rPr>
          <w:b/>
          <w:sz w:val="32"/>
          <w:szCs w:val="32"/>
        </w:rPr>
      </w:pPr>
    </w:p>
    <w:p w14:paraId="0AB9CC17" w14:textId="32FDD9B3" w:rsidR="00D612A6" w:rsidRDefault="00AA446E">
      <w:pPr>
        <w:rPr>
          <w:b/>
          <w:sz w:val="32"/>
          <w:szCs w:val="32"/>
        </w:rPr>
      </w:pPr>
      <w:r>
        <w:rPr>
          <w:b/>
          <w:sz w:val="32"/>
          <w:szCs w:val="32"/>
        </w:rPr>
        <w:t xml:space="preserve">A Voting Entity Issue (VEI) that has been previously defeated as both a VEI and as a CSC motion may not be re-submitted in any form until </w:t>
      </w:r>
      <w:r w:rsidR="008B561F">
        <w:rPr>
          <w:b/>
          <w:sz w:val="32"/>
          <w:szCs w:val="32"/>
        </w:rPr>
        <w:t>4</w:t>
      </w:r>
      <w:r>
        <w:rPr>
          <w:b/>
          <w:sz w:val="32"/>
          <w:szCs w:val="32"/>
        </w:rPr>
        <w:t xml:space="preserve"> years have passed</w:t>
      </w:r>
      <w:r w:rsidR="008B561F">
        <w:rPr>
          <w:b/>
          <w:sz w:val="32"/>
          <w:szCs w:val="32"/>
        </w:rPr>
        <w:t xml:space="preserve"> from </w:t>
      </w:r>
      <w:proofErr w:type="spellStart"/>
      <w:r w:rsidR="008B561F">
        <w:rPr>
          <w:b/>
          <w:sz w:val="32"/>
          <w:szCs w:val="32"/>
        </w:rPr>
        <w:t>it’s</w:t>
      </w:r>
      <w:proofErr w:type="spellEnd"/>
      <w:r w:rsidR="008B561F">
        <w:rPr>
          <w:b/>
          <w:sz w:val="32"/>
          <w:szCs w:val="32"/>
        </w:rPr>
        <w:t xml:space="preserve"> defeat as a motion regardless which Voting Entity submits it</w:t>
      </w:r>
      <w:r>
        <w:rPr>
          <w:b/>
          <w:sz w:val="32"/>
          <w:szCs w:val="32"/>
        </w:rPr>
        <w:t>.</w:t>
      </w:r>
    </w:p>
    <w:p w14:paraId="14D73A7E" w14:textId="77777777" w:rsidR="00D612A6" w:rsidRDefault="00AA446E">
      <w:pPr>
        <w:rPr>
          <w:b/>
          <w:sz w:val="32"/>
          <w:szCs w:val="32"/>
        </w:rPr>
      </w:pPr>
      <w:r>
        <w:rPr>
          <w:b/>
          <w:sz w:val="32"/>
          <w:szCs w:val="32"/>
        </w:rPr>
        <w:t>________________________________________________</w:t>
      </w:r>
    </w:p>
    <w:p w14:paraId="1FEBA6BA" w14:textId="34F4F37A" w:rsidR="00D612A6" w:rsidRDefault="00AA446E">
      <w:pPr>
        <w:rPr>
          <w:b/>
          <w:sz w:val="32"/>
          <w:szCs w:val="32"/>
        </w:rPr>
      </w:pPr>
      <w:r>
        <w:rPr>
          <w:b/>
          <w:sz w:val="32"/>
          <w:szCs w:val="32"/>
        </w:rPr>
        <w:t xml:space="preserve">Intent: </w:t>
      </w:r>
      <w:r w:rsidR="00B60F57">
        <w:rPr>
          <w:b/>
          <w:sz w:val="32"/>
          <w:szCs w:val="32"/>
        </w:rPr>
        <w:t>To create a boundary for the resubmission of Voting Entity Issues and motions.</w:t>
      </w:r>
    </w:p>
    <w:p w14:paraId="2E67F4D4" w14:textId="77777777" w:rsidR="00D612A6" w:rsidRDefault="00AA446E">
      <w:pPr>
        <w:rPr>
          <w:b/>
          <w:sz w:val="32"/>
          <w:szCs w:val="32"/>
        </w:rPr>
      </w:pPr>
      <w:r>
        <w:rPr>
          <w:b/>
          <w:sz w:val="32"/>
          <w:szCs w:val="32"/>
        </w:rPr>
        <w:t>________________________________________________</w:t>
      </w:r>
    </w:p>
    <w:p w14:paraId="652838E3" w14:textId="77777777" w:rsidR="00D612A6" w:rsidRDefault="00AA446E">
      <w:pPr>
        <w:rPr>
          <w:b/>
          <w:sz w:val="32"/>
          <w:szCs w:val="32"/>
        </w:rPr>
      </w:pPr>
      <w:r>
        <w:rPr>
          <w:b/>
          <w:sz w:val="32"/>
          <w:szCs w:val="32"/>
        </w:rPr>
        <w:t xml:space="preserve">Remarks: </w:t>
      </w:r>
    </w:p>
    <w:p w14:paraId="531B4E6E" w14:textId="77777777" w:rsidR="00D612A6" w:rsidRDefault="00AA446E">
      <w:pPr>
        <w:rPr>
          <w:b/>
          <w:sz w:val="32"/>
          <w:szCs w:val="32"/>
        </w:rPr>
      </w:pPr>
      <w:r>
        <w:rPr>
          <w:b/>
          <w:sz w:val="32"/>
          <w:szCs w:val="32"/>
        </w:rPr>
        <w:t>Here is what is currently in “Guidelines for Presenting Voting Entity Issues to CSC”:</w:t>
      </w:r>
    </w:p>
    <w:p w14:paraId="599CB65D" w14:textId="77777777" w:rsidR="00D612A6" w:rsidRDefault="00AA446E">
      <w:pPr>
        <w:rPr>
          <w:rFonts w:ascii="Calibri" w:eastAsia="Calibri" w:hAnsi="Calibri" w:cs="Calibri"/>
          <w:b/>
          <w:sz w:val="32"/>
          <w:szCs w:val="32"/>
        </w:rPr>
      </w:pPr>
      <w:r>
        <w:rPr>
          <w:rFonts w:ascii="Calibri" w:eastAsia="Calibri" w:hAnsi="Calibri" w:cs="Calibri"/>
          <w:b/>
          <w:sz w:val="32"/>
          <w:szCs w:val="32"/>
        </w:rPr>
        <w:t xml:space="preserve"> </w:t>
      </w:r>
    </w:p>
    <w:p w14:paraId="6C0CF6E8" w14:textId="77777777" w:rsidR="00D612A6" w:rsidRDefault="00AA446E">
      <w:pPr>
        <w:spacing w:line="276" w:lineRule="auto"/>
        <w:ind w:left="720"/>
        <w:rPr>
          <w:rFonts w:ascii="Calibri" w:eastAsia="Calibri" w:hAnsi="Calibri" w:cs="Calibri"/>
          <w:b/>
          <w:sz w:val="32"/>
          <w:szCs w:val="32"/>
        </w:rPr>
      </w:pPr>
      <w:r>
        <w:rPr>
          <w:rFonts w:ascii="Calibri" w:eastAsia="Calibri" w:hAnsi="Calibri" w:cs="Calibri"/>
          <w:b/>
          <w:sz w:val="32"/>
          <w:szCs w:val="32"/>
        </w:rPr>
        <w:t>a. The Voting Entity discusses an issue and forms a recommendation by group conscience process.</w:t>
      </w:r>
    </w:p>
    <w:p w14:paraId="48691C6A" w14:textId="77777777" w:rsidR="00D612A6" w:rsidRDefault="00AA446E">
      <w:pPr>
        <w:spacing w:line="276" w:lineRule="auto"/>
        <w:ind w:left="720"/>
        <w:rPr>
          <w:rFonts w:ascii="Calibri" w:eastAsia="Calibri" w:hAnsi="Calibri" w:cs="Calibri"/>
          <w:b/>
          <w:sz w:val="32"/>
          <w:szCs w:val="32"/>
        </w:rPr>
      </w:pPr>
      <w:r>
        <w:rPr>
          <w:rFonts w:ascii="Calibri" w:eastAsia="Calibri" w:hAnsi="Calibri" w:cs="Calibri"/>
          <w:b/>
          <w:sz w:val="32"/>
          <w:szCs w:val="32"/>
        </w:rPr>
        <w:t>b. The Voting Entity sends their issue and recommendation to the Board of Trustees.</w:t>
      </w:r>
    </w:p>
    <w:p w14:paraId="0373EB59" w14:textId="77777777" w:rsidR="00D612A6" w:rsidRDefault="00AA446E">
      <w:pPr>
        <w:spacing w:line="276" w:lineRule="auto"/>
        <w:ind w:left="720"/>
        <w:rPr>
          <w:rFonts w:ascii="Calibri" w:eastAsia="Calibri" w:hAnsi="Calibri" w:cs="Calibri"/>
          <w:b/>
          <w:sz w:val="32"/>
          <w:szCs w:val="32"/>
        </w:rPr>
      </w:pPr>
      <w:r>
        <w:rPr>
          <w:rFonts w:ascii="Calibri" w:eastAsia="Calibri" w:hAnsi="Calibri" w:cs="Calibri"/>
          <w:b/>
          <w:sz w:val="32"/>
          <w:szCs w:val="32"/>
        </w:rPr>
        <w:t>c. The Board responds to the issue or they may send the issue to an appropriate committee.</w:t>
      </w:r>
    </w:p>
    <w:p w14:paraId="11186AD6" w14:textId="77777777" w:rsidR="00D612A6" w:rsidRDefault="00AA446E">
      <w:pPr>
        <w:spacing w:line="276" w:lineRule="auto"/>
        <w:ind w:left="720"/>
        <w:rPr>
          <w:rFonts w:ascii="Calibri" w:eastAsia="Calibri" w:hAnsi="Calibri" w:cs="Calibri"/>
          <w:b/>
          <w:sz w:val="32"/>
          <w:szCs w:val="32"/>
        </w:rPr>
      </w:pPr>
      <w:r>
        <w:rPr>
          <w:rFonts w:ascii="Calibri" w:eastAsia="Calibri" w:hAnsi="Calibri" w:cs="Calibri"/>
          <w:b/>
          <w:sz w:val="32"/>
          <w:szCs w:val="32"/>
        </w:rPr>
        <w:lastRenderedPageBreak/>
        <w:t>d. If a Committee receives a Voting Entity Issue, they examine the issue and determine a response by group conscience.</w:t>
      </w:r>
    </w:p>
    <w:p w14:paraId="70C73B60" w14:textId="77777777" w:rsidR="00D612A6" w:rsidRDefault="00AA446E">
      <w:pPr>
        <w:spacing w:line="276" w:lineRule="auto"/>
        <w:ind w:left="720"/>
        <w:rPr>
          <w:rFonts w:ascii="Calibri" w:eastAsia="Calibri" w:hAnsi="Calibri" w:cs="Calibri"/>
          <w:b/>
          <w:sz w:val="32"/>
          <w:szCs w:val="32"/>
        </w:rPr>
      </w:pPr>
      <w:r>
        <w:rPr>
          <w:rFonts w:ascii="Calibri" w:eastAsia="Calibri" w:hAnsi="Calibri" w:cs="Calibri"/>
          <w:b/>
          <w:sz w:val="32"/>
          <w:szCs w:val="32"/>
        </w:rPr>
        <w:t>e. Board or Committee responses to Voting Entity Issues are presented at the CoDA Service Conference during Board or committee reports. Responses may also be published in the Quarterly Service Report (QSR) between CSC’s.</w:t>
      </w:r>
    </w:p>
    <w:p w14:paraId="263DD573" w14:textId="77777777" w:rsidR="00D612A6" w:rsidRDefault="00AA446E">
      <w:pPr>
        <w:spacing w:line="276" w:lineRule="auto"/>
        <w:ind w:left="720" w:right="160"/>
        <w:rPr>
          <w:rFonts w:ascii="Calibri" w:eastAsia="Calibri" w:hAnsi="Calibri" w:cs="Calibri"/>
          <w:b/>
          <w:sz w:val="32"/>
          <w:szCs w:val="32"/>
        </w:rPr>
      </w:pPr>
      <w:r>
        <w:rPr>
          <w:rFonts w:ascii="Calibri" w:eastAsia="Calibri" w:hAnsi="Calibri" w:cs="Calibri"/>
          <w:b/>
          <w:sz w:val="32"/>
          <w:szCs w:val="32"/>
        </w:rPr>
        <w:t>f. The Board or Committee shall establish and maintain communication with the originating Voting Entity (VE) during their process of deliberation to the extent that is possible and form their issue into a motion and present it at the next Conference. If in deliberation the board or committee decides against the VEI, the VE Delegate has the option to bring it as a motion directly to CoDA Service Conference providing it’s not a By-law or legal issue. When the Board or assigned Committee decides against the Voting Entity Issue (VEI), the Voting Entity (VE) has the option to bring the motion the following year to CSC, providing it’s not a By-law, Tradition or legal issue. If the Voting Entity decides to bring the VEI to CSC, the VE will meet all criteria that involve presenting a motion at the next CSC.</w:t>
      </w:r>
    </w:p>
    <w:p w14:paraId="2D32751F" w14:textId="77777777" w:rsidR="00D612A6" w:rsidRDefault="00AA446E">
      <w:pPr>
        <w:spacing w:line="276" w:lineRule="auto"/>
        <w:ind w:left="720" w:right="160"/>
        <w:rPr>
          <w:rFonts w:ascii="Calibri" w:eastAsia="Calibri" w:hAnsi="Calibri" w:cs="Calibri"/>
          <w:b/>
          <w:sz w:val="32"/>
          <w:szCs w:val="32"/>
        </w:rPr>
      </w:pPr>
      <w:r>
        <w:rPr>
          <w:rFonts w:ascii="Calibri" w:eastAsia="Calibri" w:hAnsi="Calibri" w:cs="Calibri"/>
          <w:b/>
          <w:sz w:val="32"/>
          <w:szCs w:val="32"/>
        </w:rPr>
        <w:t xml:space="preserve">g. See Procedures for Submitting CSC Items in Part </w:t>
      </w:r>
      <w:proofErr w:type="gramStart"/>
      <w:r>
        <w:rPr>
          <w:rFonts w:ascii="Calibri" w:eastAsia="Calibri" w:hAnsi="Calibri" w:cs="Calibri"/>
          <w:b/>
          <w:sz w:val="32"/>
          <w:szCs w:val="32"/>
        </w:rPr>
        <w:t>4.The</w:t>
      </w:r>
      <w:proofErr w:type="gramEnd"/>
      <w:r>
        <w:rPr>
          <w:rFonts w:ascii="Calibri" w:eastAsia="Calibri" w:hAnsi="Calibri" w:cs="Calibri"/>
          <w:b/>
          <w:sz w:val="32"/>
          <w:szCs w:val="32"/>
        </w:rPr>
        <w:t xml:space="preserve"> Issues Mediation Committee (IMC) will maintain and publish the progress of the deliberations regarding the Voting Entity Issue.</w:t>
      </w:r>
    </w:p>
    <w:p w14:paraId="03C3DFA9" w14:textId="77777777" w:rsidR="00D612A6" w:rsidRDefault="00AA446E">
      <w:pPr>
        <w:spacing w:line="276" w:lineRule="auto"/>
        <w:ind w:left="720" w:right="160"/>
        <w:rPr>
          <w:rFonts w:ascii="Calibri" w:eastAsia="Calibri" w:hAnsi="Calibri" w:cs="Calibri"/>
          <w:b/>
          <w:sz w:val="32"/>
          <w:szCs w:val="32"/>
        </w:rPr>
      </w:pPr>
      <w:r>
        <w:rPr>
          <w:rFonts w:ascii="Calibri" w:eastAsia="Calibri" w:hAnsi="Calibri" w:cs="Calibri"/>
          <w:b/>
          <w:sz w:val="32"/>
          <w:szCs w:val="32"/>
        </w:rPr>
        <w:t>h. The Delegate is responsible for following up on the status of their Voting Entity issues and reporting back to their membership.</w:t>
      </w:r>
    </w:p>
    <w:p w14:paraId="0C680F1E" w14:textId="77777777" w:rsidR="00D612A6" w:rsidRDefault="00D612A6">
      <w:pPr>
        <w:rPr>
          <w:b/>
          <w:sz w:val="32"/>
          <w:szCs w:val="32"/>
        </w:rPr>
      </w:pPr>
    </w:p>
    <w:p w14:paraId="0F18B8A2" w14:textId="77777777" w:rsidR="00D612A6" w:rsidRDefault="00AA446E">
      <w:pPr>
        <w:rPr>
          <w:b/>
          <w:sz w:val="32"/>
          <w:szCs w:val="32"/>
        </w:rPr>
      </w:pPr>
      <w:r>
        <w:rPr>
          <w:b/>
          <w:sz w:val="32"/>
          <w:szCs w:val="32"/>
        </w:rPr>
        <w:t>This motion requires changes to: (please check any that apply)</w:t>
      </w:r>
    </w:p>
    <w:p w14:paraId="426FE44F" w14:textId="77777777" w:rsidR="00D612A6" w:rsidRDefault="00AA446E">
      <w:pPr>
        <w:rPr>
          <w:b/>
          <w:sz w:val="32"/>
          <w:szCs w:val="32"/>
        </w:rPr>
      </w:pPr>
      <w:r>
        <w:rPr>
          <w:b/>
          <w:sz w:val="32"/>
          <w:szCs w:val="32"/>
          <w:u w:val="single"/>
        </w:rPr>
        <w:tab/>
      </w:r>
      <w:r>
        <w:rPr>
          <w:b/>
          <w:sz w:val="32"/>
          <w:szCs w:val="32"/>
        </w:rPr>
        <w:t>By Laws</w:t>
      </w:r>
      <w:r>
        <w:rPr>
          <w:b/>
          <w:sz w:val="32"/>
          <w:szCs w:val="32"/>
        </w:rPr>
        <w:tab/>
      </w:r>
      <w:r>
        <w:rPr>
          <w:b/>
          <w:sz w:val="32"/>
          <w:szCs w:val="32"/>
        </w:rPr>
        <w:tab/>
      </w:r>
      <w:r>
        <w:rPr>
          <w:b/>
          <w:sz w:val="32"/>
          <w:szCs w:val="32"/>
          <w:u w:val="single"/>
        </w:rPr>
        <w:tab/>
      </w:r>
      <w:r>
        <w:rPr>
          <w:b/>
          <w:sz w:val="32"/>
          <w:szCs w:val="32"/>
        </w:rPr>
        <w:t>FSM P1</w:t>
      </w:r>
      <w:r>
        <w:rPr>
          <w:b/>
          <w:sz w:val="32"/>
          <w:szCs w:val="32"/>
        </w:rPr>
        <w:tab/>
      </w:r>
      <w:r>
        <w:rPr>
          <w:b/>
          <w:sz w:val="32"/>
          <w:szCs w:val="32"/>
        </w:rPr>
        <w:tab/>
      </w:r>
      <w:r>
        <w:rPr>
          <w:b/>
          <w:sz w:val="32"/>
          <w:szCs w:val="32"/>
          <w:u w:val="single"/>
        </w:rPr>
        <w:tab/>
      </w:r>
      <w:r>
        <w:rPr>
          <w:b/>
          <w:sz w:val="32"/>
          <w:szCs w:val="32"/>
        </w:rPr>
        <w:t>FSM P2</w:t>
      </w:r>
    </w:p>
    <w:p w14:paraId="59969326" w14:textId="77777777" w:rsidR="00D612A6" w:rsidRDefault="00AA446E">
      <w:pPr>
        <w:rPr>
          <w:b/>
          <w:sz w:val="32"/>
          <w:szCs w:val="32"/>
        </w:rPr>
      </w:pPr>
      <w:r>
        <w:rPr>
          <w:b/>
          <w:sz w:val="32"/>
          <w:szCs w:val="32"/>
          <w:u w:val="single"/>
        </w:rPr>
        <w:tab/>
      </w:r>
      <w:r>
        <w:rPr>
          <w:b/>
          <w:sz w:val="32"/>
          <w:szCs w:val="32"/>
        </w:rPr>
        <w:t>FSM P3</w:t>
      </w:r>
      <w:r>
        <w:rPr>
          <w:b/>
          <w:sz w:val="32"/>
          <w:szCs w:val="32"/>
        </w:rPr>
        <w:tab/>
      </w:r>
      <w:r>
        <w:rPr>
          <w:b/>
          <w:sz w:val="32"/>
          <w:szCs w:val="32"/>
        </w:rPr>
        <w:tab/>
      </w:r>
      <w:r>
        <w:rPr>
          <w:b/>
          <w:sz w:val="32"/>
          <w:szCs w:val="32"/>
          <w:u w:val="single"/>
        </w:rPr>
        <w:t xml:space="preserve">    X</w:t>
      </w:r>
      <w:r>
        <w:rPr>
          <w:b/>
          <w:sz w:val="32"/>
          <w:szCs w:val="32"/>
          <w:u w:val="single"/>
        </w:rPr>
        <w:tab/>
      </w:r>
      <w:r>
        <w:rPr>
          <w:b/>
          <w:sz w:val="32"/>
          <w:szCs w:val="32"/>
        </w:rPr>
        <w:t>FSM P4</w:t>
      </w:r>
      <w:r>
        <w:rPr>
          <w:b/>
          <w:sz w:val="32"/>
          <w:szCs w:val="32"/>
        </w:rPr>
        <w:tab/>
      </w:r>
      <w:r>
        <w:rPr>
          <w:b/>
          <w:sz w:val="32"/>
          <w:szCs w:val="32"/>
        </w:rPr>
        <w:tab/>
      </w:r>
      <w:r>
        <w:rPr>
          <w:b/>
          <w:sz w:val="32"/>
          <w:szCs w:val="32"/>
          <w:u w:val="single"/>
        </w:rPr>
        <w:tab/>
      </w:r>
      <w:r>
        <w:rPr>
          <w:b/>
          <w:sz w:val="32"/>
          <w:szCs w:val="32"/>
        </w:rPr>
        <w:t>FSM P5</w:t>
      </w:r>
    </w:p>
    <w:p w14:paraId="0097FA97" w14:textId="77777777" w:rsidR="00D612A6" w:rsidRDefault="00AA446E">
      <w:pPr>
        <w:rPr>
          <w:b/>
          <w:sz w:val="32"/>
          <w:szCs w:val="32"/>
        </w:rPr>
      </w:pPr>
      <w:r>
        <w:rPr>
          <w:b/>
          <w:sz w:val="32"/>
          <w:szCs w:val="32"/>
          <w:u w:val="single"/>
        </w:rPr>
        <w:tab/>
      </w:r>
      <w:r>
        <w:rPr>
          <w:b/>
          <w:sz w:val="32"/>
          <w:szCs w:val="32"/>
        </w:rPr>
        <w:t xml:space="preserve">Change of Responsibility   </w:t>
      </w:r>
    </w:p>
    <w:p w14:paraId="617527E7" w14:textId="77777777" w:rsidR="00D612A6" w:rsidRDefault="00AA446E">
      <w:pPr>
        <w:rPr>
          <w:b/>
          <w:sz w:val="32"/>
          <w:szCs w:val="32"/>
        </w:rPr>
      </w:pPr>
      <w:r>
        <w:rPr>
          <w:b/>
          <w:sz w:val="32"/>
          <w:szCs w:val="32"/>
          <w:u w:val="single"/>
        </w:rPr>
        <w:tab/>
      </w:r>
      <w:r>
        <w:rPr>
          <w:b/>
          <w:sz w:val="32"/>
          <w:szCs w:val="32"/>
        </w:rPr>
        <w:t xml:space="preserve">Other: </w:t>
      </w:r>
      <w:r>
        <w:rPr>
          <w:b/>
          <w:sz w:val="32"/>
          <w:szCs w:val="32"/>
          <w:u w:val="single"/>
        </w:rPr>
        <w:tab/>
      </w:r>
      <w:r>
        <w:rPr>
          <w:b/>
          <w:sz w:val="32"/>
          <w:szCs w:val="32"/>
          <w:u w:val="single"/>
        </w:rPr>
        <w:tab/>
      </w:r>
      <w:r>
        <w:rPr>
          <w:b/>
          <w:sz w:val="32"/>
          <w:szCs w:val="32"/>
          <w:u w:val="single"/>
        </w:rPr>
        <w:tab/>
      </w:r>
      <w:r>
        <w:rPr>
          <w:b/>
          <w:sz w:val="32"/>
          <w:szCs w:val="32"/>
          <w:u w:val="single"/>
        </w:rPr>
        <w:tab/>
      </w:r>
    </w:p>
    <w:sectPr w:rsidR="00D612A6">
      <w:footerReference w:type="default" r:id="rId7"/>
      <w:pgSz w:w="12240" w:h="15840"/>
      <w:pgMar w:top="1260" w:right="1800" w:bottom="36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60E91" w14:textId="77777777" w:rsidR="00433081" w:rsidRDefault="00433081">
      <w:r>
        <w:separator/>
      </w:r>
    </w:p>
  </w:endnote>
  <w:endnote w:type="continuationSeparator" w:id="0">
    <w:p w14:paraId="6214EB9A" w14:textId="77777777" w:rsidR="00433081" w:rsidRDefault="0043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7D1D" w14:textId="77777777" w:rsidR="00D612A6" w:rsidRDefault="00AA446E">
    <w:pPr>
      <w:pBdr>
        <w:top w:val="nil"/>
        <w:left w:val="nil"/>
        <w:bottom w:val="nil"/>
        <w:right w:val="nil"/>
        <w:between w:val="nil"/>
      </w:pBdr>
      <w:tabs>
        <w:tab w:val="center" w:pos="4680"/>
        <w:tab w:val="right" w:pos="9360"/>
      </w:tabs>
      <w:jc w:val="right"/>
      <w:rPr>
        <w:color w:val="000000"/>
      </w:rPr>
    </w:pPr>
    <w:r>
      <w:rPr>
        <w:color w:val="000000"/>
      </w:rPr>
      <w:t>Last Revised: March/2018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6C2FE" w14:textId="77777777" w:rsidR="00433081" w:rsidRDefault="00433081">
      <w:r>
        <w:separator/>
      </w:r>
    </w:p>
  </w:footnote>
  <w:footnote w:type="continuationSeparator" w:id="0">
    <w:p w14:paraId="5A701CE5" w14:textId="77777777" w:rsidR="00433081" w:rsidRDefault="00433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612A6"/>
    <w:rsid w:val="00433081"/>
    <w:rsid w:val="008B561F"/>
    <w:rsid w:val="00AA446E"/>
    <w:rsid w:val="00B60F57"/>
    <w:rsid w:val="00D6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BD1E"/>
  <w15:docId w15:val="{A7752268-2C3A-49F2-AA93-A79AA744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Evie Stern</cp:lastModifiedBy>
  <cp:revision>3</cp:revision>
  <dcterms:created xsi:type="dcterms:W3CDTF">2018-08-04T20:12:00Z</dcterms:created>
  <dcterms:modified xsi:type="dcterms:W3CDTF">2018-08-07T15:16:00Z</dcterms:modified>
</cp:coreProperties>
</file>