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541" w:rsidRDefault="00A83367" w:rsidP="005C6FB0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2217420</wp:posOffset>
            </wp:positionH>
            <wp:positionV relativeFrom="paragraph">
              <wp:posOffset>0</wp:posOffset>
            </wp:positionV>
            <wp:extent cx="1737360" cy="173736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R-coda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367" w:rsidRDefault="00A83367" w:rsidP="005C6FB0">
      <w:pPr>
        <w:jc w:val="center"/>
        <w:rPr>
          <w:b/>
          <w:sz w:val="40"/>
          <w:szCs w:val="40"/>
        </w:rPr>
      </w:pPr>
    </w:p>
    <w:p w:rsidR="00A83367" w:rsidRDefault="00A83367" w:rsidP="005C6FB0">
      <w:pPr>
        <w:jc w:val="center"/>
        <w:rPr>
          <w:b/>
          <w:sz w:val="40"/>
          <w:szCs w:val="40"/>
        </w:rPr>
      </w:pPr>
    </w:p>
    <w:p w:rsidR="00A83367" w:rsidRDefault="00A83367" w:rsidP="005C6FB0">
      <w:pPr>
        <w:jc w:val="center"/>
        <w:rPr>
          <w:b/>
          <w:sz w:val="40"/>
          <w:szCs w:val="40"/>
        </w:rPr>
      </w:pPr>
    </w:p>
    <w:p w:rsidR="00A83367" w:rsidRDefault="00A83367" w:rsidP="005C6FB0">
      <w:pPr>
        <w:jc w:val="center"/>
        <w:rPr>
          <w:b/>
          <w:sz w:val="40"/>
          <w:szCs w:val="40"/>
        </w:rPr>
      </w:pPr>
    </w:p>
    <w:p w:rsidR="00A83367" w:rsidRDefault="00A83367" w:rsidP="005C6FB0">
      <w:pPr>
        <w:jc w:val="center"/>
        <w:rPr>
          <w:b/>
          <w:sz w:val="40"/>
          <w:szCs w:val="40"/>
        </w:rPr>
      </w:pPr>
    </w:p>
    <w:p w:rsidR="00F878BE" w:rsidRPr="00463D2E" w:rsidRDefault="00F878BE" w:rsidP="005C6FB0">
      <w:pPr>
        <w:jc w:val="center"/>
        <w:rPr>
          <w:b/>
          <w:sz w:val="40"/>
          <w:szCs w:val="40"/>
        </w:rPr>
      </w:pPr>
    </w:p>
    <w:p w:rsidR="008A23FC" w:rsidRPr="008A23FC" w:rsidRDefault="00A83367" w:rsidP="005C6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Independent </w:t>
      </w:r>
      <w:r w:rsidR="008A23FC" w:rsidRPr="00AD01AD">
        <w:rPr>
          <w:b/>
          <w:sz w:val="28"/>
          <w:szCs w:val="28"/>
        </w:rPr>
        <w:t>Contract</w:t>
      </w:r>
      <w:r w:rsidR="005071BD">
        <w:rPr>
          <w:b/>
          <w:sz w:val="28"/>
          <w:szCs w:val="28"/>
        </w:rPr>
        <w:t>or</w:t>
      </w:r>
      <w:r>
        <w:rPr>
          <w:b/>
          <w:sz w:val="28"/>
          <w:szCs w:val="28"/>
        </w:rPr>
        <w:t xml:space="preserve"> </w:t>
      </w:r>
      <w:r w:rsidR="008A23FC" w:rsidRPr="00AD01AD">
        <w:rPr>
          <w:b/>
          <w:sz w:val="28"/>
          <w:szCs w:val="28"/>
        </w:rPr>
        <w:t xml:space="preserve">Agreement </w:t>
      </w:r>
      <w:r>
        <w:rPr>
          <w:b/>
          <w:sz w:val="28"/>
          <w:szCs w:val="28"/>
        </w:rPr>
        <w:br/>
      </w:r>
      <w:r w:rsidR="008A23FC" w:rsidRPr="00AD01AD">
        <w:rPr>
          <w:b/>
          <w:sz w:val="28"/>
          <w:szCs w:val="28"/>
        </w:rPr>
        <w:t>Administration</w:t>
      </w:r>
      <w:r w:rsidR="008A23FC">
        <w:t xml:space="preserve"> </w:t>
      </w:r>
      <w:r w:rsidR="008A23FC" w:rsidRPr="008A23FC">
        <w:rPr>
          <w:b/>
          <w:sz w:val="28"/>
          <w:szCs w:val="28"/>
        </w:rPr>
        <w:t>Policy</w:t>
      </w:r>
    </w:p>
    <w:p w:rsidR="00BF3E2F" w:rsidRDefault="00BF3E2F" w:rsidP="005C6FB0"/>
    <w:p w:rsidR="00D16ACD" w:rsidRPr="00AD01AD" w:rsidRDefault="00D16ACD" w:rsidP="005C6FB0">
      <w:r w:rsidRPr="00AD01AD">
        <w:t>Contract administration is an important aspect of successful business</w:t>
      </w:r>
      <w:r w:rsidR="00B01541">
        <w:t>es</w:t>
      </w:r>
      <w:r w:rsidR="00AD01AD">
        <w:t>,</w:t>
      </w:r>
      <w:r w:rsidRPr="00AD01AD">
        <w:t xml:space="preserve"> and consists of actions taken by the contract issuer (CoDA) to monitor the activities of the contractors to assure successful performance.</w:t>
      </w:r>
    </w:p>
    <w:p w:rsidR="00D16ACD" w:rsidRPr="00AD01AD" w:rsidRDefault="00D16ACD" w:rsidP="005C6FB0">
      <w:r w:rsidRPr="00AD01AD">
        <w:t>The ongoing challenge is maintaining open and effective communication, timely delivery of quality products and services</w:t>
      </w:r>
      <w:r w:rsidR="005126C0" w:rsidRPr="00AD01AD">
        <w:t xml:space="preserve"> to CoDA</w:t>
      </w:r>
      <w:r w:rsidRPr="00AD01AD">
        <w:t>, responsive corrective actions to problems, and compliance by both parties with all agreed-upon terms and conditions in the contract.</w:t>
      </w:r>
    </w:p>
    <w:p w:rsidR="003D0445" w:rsidRDefault="003D0445" w:rsidP="005C6FB0"/>
    <w:p w:rsidR="005126C0" w:rsidRPr="00AD01AD" w:rsidRDefault="005126C0" w:rsidP="005C6FB0">
      <w:r w:rsidRPr="00AD01AD">
        <w:t xml:space="preserve">For the purposes of this policy, </w:t>
      </w:r>
      <w:r w:rsidR="003D0445">
        <w:t xml:space="preserve">the term </w:t>
      </w:r>
      <w:r w:rsidRPr="00AD01AD">
        <w:t>“contract” refers to both agreements with outside vendors (such as accountants, web and legal services) and FS</w:t>
      </w:r>
      <w:r w:rsidR="00D01E84">
        <w:t>W</w:t>
      </w:r>
      <w:r w:rsidRPr="00AD01AD">
        <w:t xml:space="preserve"> Agreements.</w:t>
      </w:r>
    </w:p>
    <w:p w:rsidR="00D16ACD" w:rsidRPr="00AD01AD" w:rsidRDefault="00D16ACD" w:rsidP="005C6FB0">
      <w:pPr>
        <w:rPr>
          <w:rFonts w:eastAsia="Times New Roman" w:cs="Arial"/>
        </w:rPr>
      </w:pPr>
    </w:p>
    <w:p w:rsidR="005126C0" w:rsidRPr="003813D2" w:rsidRDefault="00B01541" w:rsidP="005C6FB0">
      <w:pPr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Independent Contractor Agreement </w:t>
      </w:r>
    </w:p>
    <w:p w:rsidR="00D16ACD" w:rsidRPr="00AD01AD" w:rsidRDefault="00D16ACD" w:rsidP="005C6FB0">
      <w:pPr>
        <w:rPr>
          <w:rFonts w:eastAsia="Times New Roman" w:cs="Tahoma"/>
        </w:rPr>
      </w:pPr>
      <w:r w:rsidRPr="00AD01AD">
        <w:rPr>
          <w:rFonts w:eastAsia="Times New Roman" w:cs="Arial"/>
        </w:rPr>
        <w:t>For contracts with outside vendors (such as accountants, web or legal services), the process start</w:t>
      </w:r>
      <w:r w:rsidR="003813D2">
        <w:rPr>
          <w:rFonts w:eastAsia="Times New Roman" w:cs="Arial"/>
        </w:rPr>
        <w:t>s</w:t>
      </w:r>
      <w:r w:rsidRPr="00AD01AD">
        <w:rPr>
          <w:rFonts w:eastAsia="Times New Roman" w:cs="Arial"/>
        </w:rPr>
        <w:t xml:space="preserve"> with a scope-of-work document that describes the needed services.   This scope-of-work will be developed by the appropriate CoDA Board members, or others as identified by the Board of </w:t>
      </w:r>
      <w:r w:rsidR="00B01541">
        <w:rPr>
          <w:rFonts w:eastAsia="Times New Roman" w:cs="Arial"/>
        </w:rPr>
        <w:t>Trustees</w:t>
      </w:r>
      <w:r w:rsidRPr="00AD01AD">
        <w:rPr>
          <w:rFonts w:eastAsia="Times New Roman" w:cs="Arial"/>
        </w:rPr>
        <w:t>, and submitted to at least three possible vendors in order to obtain a quote</w:t>
      </w:r>
      <w:r w:rsidR="00D01E84" w:rsidRPr="00D01E84">
        <w:rPr>
          <w:rFonts w:eastAsia="Times New Roman" w:cs="Arial"/>
          <w:i/>
        </w:rPr>
        <w:t>, if appropriate</w:t>
      </w:r>
      <w:r w:rsidR="00A83367">
        <w:rPr>
          <w:rFonts w:eastAsia="Times New Roman" w:cs="Arial"/>
          <w:i/>
        </w:rPr>
        <w:t>.</w:t>
      </w:r>
      <w:r w:rsidR="00B01541">
        <w:rPr>
          <w:rFonts w:eastAsia="Times New Roman" w:cs="Arial"/>
          <w:i/>
        </w:rPr>
        <w:t>*</w:t>
      </w:r>
      <w:r w:rsidRPr="00AD01AD">
        <w:rPr>
          <w:rFonts w:eastAsia="Times New Roman" w:cs="Arial"/>
        </w:rPr>
        <w:t xml:space="preserve"> This c</w:t>
      </w:r>
      <w:r w:rsidRPr="00AD01AD">
        <w:rPr>
          <w:rFonts w:eastAsia="Times New Roman" w:cs="Tahoma"/>
        </w:rPr>
        <w:t xml:space="preserve">ompetitive contract process will ensure a high level of openness, fairness, impartiality, transparency and buying rigor to maximize the best return for CoDA. The Board of </w:t>
      </w:r>
      <w:r w:rsidR="00B01541">
        <w:rPr>
          <w:rFonts w:eastAsia="Times New Roman" w:cs="Tahoma"/>
        </w:rPr>
        <w:t>Trustees</w:t>
      </w:r>
      <w:r w:rsidRPr="00AD01AD">
        <w:rPr>
          <w:rFonts w:eastAsia="Times New Roman" w:cs="Tahoma"/>
        </w:rPr>
        <w:t xml:space="preserve"> will review </w:t>
      </w:r>
      <w:r w:rsidR="000C2784" w:rsidRPr="00AD01AD">
        <w:rPr>
          <w:rFonts w:eastAsia="Times New Roman" w:cs="Tahoma"/>
        </w:rPr>
        <w:t>the bids received through this process</w:t>
      </w:r>
      <w:r w:rsidR="00D01E84">
        <w:rPr>
          <w:rFonts w:eastAsia="Times New Roman" w:cs="Tahoma"/>
        </w:rPr>
        <w:t>, interview them (if necessary)</w:t>
      </w:r>
      <w:r w:rsidR="000C2784" w:rsidRPr="00AD01AD">
        <w:rPr>
          <w:rFonts w:eastAsia="Times New Roman" w:cs="Tahoma"/>
        </w:rPr>
        <w:t xml:space="preserve"> and choose the vendor that provides the best overall value for CoDA. </w:t>
      </w:r>
    </w:p>
    <w:p w:rsidR="003813D2" w:rsidRPr="00D01E84" w:rsidRDefault="003813D2" w:rsidP="005C6FB0">
      <w:pPr>
        <w:rPr>
          <w:rFonts w:eastAsia="Times New Roman" w:cs="Tahoma"/>
          <w:i/>
        </w:rPr>
      </w:pPr>
    </w:p>
    <w:p w:rsidR="000C2784" w:rsidRPr="00D01E84" w:rsidRDefault="00B01541" w:rsidP="005C6FB0">
      <w:pPr>
        <w:rPr>
          <w:rFonts w:eastAsia="Times New Roman" w:cs="Tahoma"/>
          <w:i/>
        </w:rPr>
      </w:pPr>
      <w:r>
        <w:rPr>
          <w:rFonts w:eastAsia="Times New Roman" w:cs="Tahoma"/>
          <w:i/>
        </w:rPr>
        <w:t>*</w:t>
      </w:r>
      <w:r w:rsidR="00D01E84" w:rsidRPr="00D01E84">
        <w:rPr>
          <w:rFonts w:eastAsia="Times New Roman" w:cs="Tahoma"/>
          <w:i/>
        </w:rPr>
        <w:t xml:space="preserve"> </w:t>
      </w:r>
      <w:r w:rsidR="000F401E" w:rsidRPr="00D01E84">
        <w:rPr>
          <w:rFonts w:eastAsia="Times New Roman" w:cs="Tahoma"/>
          <w:i/>
        </w:rPr>
        <w:t>Waiver of this three bid policy</w:t>
      </w:r>
      <w:r w:rsidR="000C2784" w:rsidRPr="00D01E84">
        <w:rPr>
          <w:rFonts w:eastAsia="Times New Roman" w:cs="Tahoma"/>
          <w:i/>
        </w:rPr>
        <w:t xml:space="preserve"> may occur based on determination by the Board of </w:t>
      </w:r>
      <w:r>
        <w:rPr>
          <w:rFonts w:eastAsia="Times New Roman" w:cs="Tahoma"/>
          <w:i/>
        </w:rPr>
        <w:t>Trustees</w:t>
      </w:r>
      <w:r w:rsidR="000C2784" w:rsidRPr="00D01E84">
        <w:rPr>
          <w:rFonts w:eastAsia="Times New Roman" w:cs="Tahoma"/>
          <w:i/>
        </w:rPr>
        <w:t xml:space="preserve"> that enough acceptable competition cannot be obtained, </w:t>
      </w:r>
      <w:r w:rsidR="00D01E84" w:rsidRPr="00D01E84">
        <w:rPr>
          <w:rFonts w:eastAsia="Times New Roman" w:cs="Tahoma"/>
          <w:i/>
        </w:rPr>
        <w:t xml:space="preserve">that there is an obvious vendor with history that meets all the qualifications, </w:t>
      </w:r>
      <w:r w:rsidR="000C2784" w:rsidRPr="00D01E84">
        <w:rPr>
          <w:rFonts w:eastAsia="Times New Roman" w:cs="Tahoma"/>
          <w:i/>
        </w:rPr>
        <w:t xml:space="preserve">or there is insufficient time to develop adequate competition. This decision must be in a written statement </w:t>
      </w:r>
      <w:r w:rsidR="005126C0" w:rsidRPr="00D01E84">
        <w:rPr>
          <w:rFonts w:eastAsia="Times New Roman" w:cs="Tahoma"/>
          <w:i/>
        </w:rPr>
        <w:t>and</w:t>
      </w:r>
      <w:r w:rsidR="000C2784" w:rsidRPr="00D01E84">
        <w:rPr>
          <w:rFonts w:eastAsia="Times New Roman" w:cs="Tahoma"/>
          <w:i/>
        </w:rPr>
        <w:t xml:space="preserve"> accepted by the Board.</w:t>
      </w:r>
    </w:p>
    <w:p w:rsidR="005E02ED" w:rsidRDefault="005E02ED" w:rsidP="005C6FB0">
      <w:pPr>
        <w:shd w:val="clear" w:color="auto" w:fill="FFFFFF"/>
        <w:textAlignment w:val="baseline"/>
        <w:rPr>
          <w:rFonts w:eastAsia="Times New Roman" w:cs="Arial"/>
          <w:b/>
          <w:sz w:val="24"/>
          <w:szCs w:val="24"/>
        </w:rPr>
      </w:pPr>
    </w:p>
    <w:p w:rsidR="00EB4774" w:rsidRDefault="00EB4774" w:rsidP="005C6FB0">
      <w:pPr>
        <w:shd w:val="clear" w:color="auto" w:fill="FFFFFF"/>
        <w:textAlignment w:val="baseline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Sample Agreement</w:t>
      </w:r>
    </w:p>
    <w:p w:rsidR="00EB4774" w:rsidRPr="00EB4774" w:rsidRDefault="00EB4774" w:rsidP="005C6FB0">
      <w:pPr>
        <w:shd w:val="clear" w:color="auto" w:fill="FFFFFF"/>
        <w:textAlignment w:val="baseline"/>
        <w:rPr>
          <w:rFonts w:eastAsia="Times New Roman" w:cs="Arial"/>
          <w:b/>
          <w:sz w:val="24"/>
          <w:szCs w:val="24"/>
        </w:rPr>
      </w:pPr>
      <w:r w:rsidRPr="00EB4774">
        <w:rPr>
          <w:rFonts w:eastAsia="Times New Roman" w:cs="Arial"/>
          <w:sz w:val="24"/>
          <w:szCs w:val="24"/>
        </w:rPr>
        <w:t>In cases where the professional contractor does not have</w:t>
      </w:r>
      <w:r>
        <w:rPr>
          <w:rFonts w:eastAsia="Times New Roman" w:cs="Arial"/>
          <w:b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 xml:space="preserve">a standard contract, the CoDA Sample Independent Contractor Agreement will be used (see </w:t>
      </w:r>
      <w:r w:rsidRPr="00EB4774">
        <w:rPr>
          <w:rFonts w:eastAsia="Times New Roman" w:cs="Arial"/>
          <w:i/>
          <w:sz w:val="24"/>
          <w:szCs w:val="24"/>
        </w:rPr>
        <w:t>Independent Contractor Agreement.)</w:t>
      </w:r>
    </w:p>
    <w:p w:rsidR="00EB4774" w:rsidRDefault="00EB4774" w:rsidP="005C6FB0">
      <w:pPr>
        <w:shd w:val="clear" w:color="auto" w:fill="FFFFFF"/>
        <w:textAlignment w:val="baseline"/>
        <w:rPr>
          <w:rFonts w:eastAsia="Times New Roman" w:cs="Arial"/>
          <w:b/>
          <w:sz w:val="24"/>
          <w:szCs w:val="24"/>
        </w:rPr>
      </w:pPr>
    </w:p>
    <w:p w:rsidR="006150C6" w:rsidRDefault="006150C6" w:rsidP="005C6FB0">
      <w:pPr>
        <w:shd w:val="clear" w:color="auto" w:fill="FFFFFF"/>
        <w:textAlignment w:val="baseline"/>
        <w:rPr>
          <w:rFonts w:eastAsia="Times New Roman" w:cs="Arial"/>
          <w:b/>
          <w:sz w:val="24"/>
          <w:szCs w:val="24"/>
        </w:rPr>
      </w:pPr>
    </w:p>
    <w:p w:rsidR="006150C6" w:rsidRDefault="006150C6" w:rsidP="005C6FB0">
      <w:pPr>
        <w:shd w:val="clear" w:color="auto" w:fill="FFFFFF"/>
        <w:textAlignment w:val="baseline"/>
        <w:rPr>
          <w:rFonts w:eastAsia="Times New Roman" w:cs="Arial"/>
          <w:b/>
          <w:sz w:val="24"/>
          <w:szCs w:val="24"/>
        </w:rPr>
      </w:pPr>
    </w:p>
    <w:p w:rsidR="006150C6" w:rsidRDefault="006150C6" w:rsidP="005C6FB0">
      <w:pPr>
        <w:shd w:val="clear" w:color="auto" w:fill="FFFFFF"/>
        <w:textAlignment w:val="baseline"/>
        <w:rPr>
          <w:rFonts w:eastAsia="Times New Roman" w:cs="Arial"/>
          <w:b/>
          <w:sz w:val="24"/>
          <w:szCs w:val="24"/>
        </w:rPr>
      </w:pPr>
    </w:p>
    <w:p w:rsidR="005E02ED" w:rsidRPr="005E02ED" w:rsidRDefault="005E02ED" w:rsidP="005C6FB0">
      <w:pPr>
        <w:shd w:val="clear" w:color="auto" w:fill="FFFFFF"/>
        <w:textAlignment w:val="baseline"/>
        <w:rPr>
          <w:rFonts w:eastAsia="Times New Roman" w:cs="Arial"/>
          <w:b/>
          <w:sz w:val="24"/>
          <w:szCs w:val="24"/>
        </w:rPr>
      </w:pPr>
      <w:bookmarkStart w:id="0" w:name="_GoBack"/>
      <w:bookmarkEnd w:id="0"/>
      <w:r w:rsidRPr="005E02ED">
        <w:rPr>
          <w:rFonts w:eastAsia="Times New Roman" w:cs="Arial"/>
          <w:b/>
          <w:sz w:val="24"/>
          <w:szCs w:val="24"/>
        </w:rPr>
        <w:lastRenderedPageBreak/>
        <w:t>Contract Reviews</w:t>
      </w:r>
    </w:p>
    <w:p w:rsidR="005E02ED" w:rsidRPr="000E6D10" w:rsidRDefault="005E02ED" w:rsidP="005C6FB0">
      <w:pPr>
        <w:shd w:val="clear" w:color="auto" w:fill="FFFFFF"/>
        <w:textAlignment w:val="baseline"/>
        <w:rPr>
          <w:rFonts w:eastAsia="Times New Roman" w:cs="Arial"/>
        </w:rPr>
      </w:pPr>
      <w:r w:rsidRPr="00AD01AD">
        <w:rPr>
          <w:rFonts w:eastAsia="Times New Roman" w:cs="Arial"/>
        </w:rPr>
        <w:t xml:space="preserve">It is advised that the Board of </w:t>
      </w:r>
      <w:r w:rsidR="00B01541">
        <w:rPr>
          <w:rFonts w:eastAsia="Times New Roman" w:cs="Arial"/>
        </w:rPr>
        <w:t>Trustees</w:t>
      </w:r>
      <w:r w:rsidRPr="00AD01AD">
        <w:rPr>
          <w:rFonts w:eastAsia="Times New Roman" w:cs="Arial"/>
        </w:rPr>
        <w:t>, or other body as assigned, briefly revi</w:t>
      </w:r>
      <w:r w:rsidR="00D01E84">
        <w:rPr>
          <w:rFonts w:eastAsia="Times New Roman" w:cs="Arial"/>
        </w:rPr>
        <w:t xml:space="preserve">ew CoDA contracts every six months, or annually, </w:t>
      </w:r>
      <w:r w:rsidRPr="00AD01AD">
        <w:rPr>
          <w:rFonts w:eastAsia="Times New Roman" w:cs="Arial"/>
        </w:rPr>
        <w:t>to assure vendor compliance. Contract compliance will be reviewed immediately if any question or issue arises that places the vendor’s compliance in question.</w:t>
      </w:r>
    </w:p>
    <w:p w:rsidR="003813D2" w:rsidRDefault="003813D2" w:rsidP="005C6FB0"/>
    <w:p w:rsidR="00A83367" w:rsidRDefault="005126C0" w:rsidP="005071BD">
      <w:pPr>
        <w:rPr>
          <w:b/>
          <w:sz w:val="24"/>
          <w:szCs w:val="24"/>
        </w:rPr>
      </w:pPr>
      <w:r w:rsidRPr="003813D2">
        <w:rPr>
          <w:b/>
          <w:sz w:val="24"/>
          <w:szCs w:val="24"/>
        </w:rPr>
        <w:t>Breach of Contract Actions</w:t>
      </w:r>
    </w:p>
    <w:p w:rsidR="00336870" w:rsidRPr="00B01541" w:rsidRDefault="005071BD" w:rsidP="005071BD">
      <w:pPr>
        <w:rPr>
          <w:rFonts w:eastAsia="Times New Roman" w:cs="Times New Roman"/>
          <w:b/>
          <w:i/>
          <w:u w:val="single"/>
        </w:rPr>
      </w:pPr>
      <w:r>
        <w:rPr>
          <w:b/>
          <w:sz w:val="24"/>
          <w:szCs w:val="24"/>
        </w:rPr>
        <w:br/>
      </w:r>
      <w:r w:rsidR="00336870" w:rsidRPr="00B01541">
        <w:rPr>
          <w:rFonts w:eastAsia="Times New Roman" w:cs="Times New Roman"/>
          <w:b/>
          <w:i/>
          <w:u w:val="single"/>
        </w:rPr>
        <w:t>Minor Breach</w:t>
      </w:r>
    </w:p>
    <w:p w:rsidR="00336870" w:rsidRDefault="00336870" w:rsidP="005C6FB0">
      <w:pPr>
        <w:rPr>
          <w:rFonts w:eastAsia="Times New Roman" w:cs="Arial"/>
        </w:rPr>
      </w:pPr>
      <w:r w:rsidRPr="00B01541">
        <w:rPr>
          <w:rFonts w:eastAsia="Times New Roman" w:cs="Arial"/>
        </w:rPr>
        <w:t xml:space="preserve">If </w:t>
      </w:r>
      <w:r w:rsidR="005126C0" w:rsidRPr="00B01541">
        <w:rPr>
          <w:rFonts w:eastAsia="Times New Roman" w:cs="Arial"/>
        </w:rPr>
        <w:t xml:space="preserve">CoDA determines that </w:t>
      </w:r>
      <w:r w:rsidRPr="00B01541">
        <w:rPr>
          <w:rFonts w:eastAsia="Times New Roman" w:cs="Arial"/>
        </w:rPr>
        <w:t xml:space="preserve">the </w:t>
      </w:r>
      <w:r w:rsidR="005126C0" w:rsidRPr="00B01541">
        <w:rPr>
          <w:rFonts w:eastAsia="Times New Roman" w:cs="Arial"/>
        </w:rPr>
        <w:t xml:space="preserve">contracted </w:t>
      </w:r>
      <w:r w:rsidRPr="00B01541">
        <w:rPr>
          <w:rFonts w:eastAsia="Times New Roman" w:cs="Arial"/>
        </w:rPr>
        <w:t xml:space="preserve">party </w:t>
      </w:r>
      <w:r w:rsidR="00D01E84" w:rsidRPr="00B01541">
        <w:rPr>
          <w:rFonts w:eastAsia="Times New Roman" w:cs="Arial"/>
        </w:rPr>
        <w:t>(</w:t>
      </w:r>
      <w:r w:rsidR="00B01541" w:rsidRPr="00B01541">
        <w:rPr>
          <w:rFonts w:eastAsia="Times New Roman" w:cs="Arial"/>
        </w:rPr>
        <w:t xml:space="preserve">paid </w:t>
      </w:r>
      <w:r w:rsidR="00D01E84" w:rsidRPr="00B01541">
        <w:rPr>
          <w:rFonts w:eastAsia="Times New Roman" w:cs="Arial"/>
        </w:rPr>
        <w:t>FSW</w:t>
      </w:r>
      <w:r w:rsidR="005126C0" w:rsidRPr="00B01541">
        <w:rPr>
          <w:rFonts w:eastAsia="Times New Roman" w:cs="Arial"/>
        </w:rPr>
        <w:t xml:space="preserve"> or outside vendor)</w:t>
      </w:r>
      <w:r w:rsidRPr="00B01541">
        <w:rPr>
          <w:rFonts w:eastAsia="Times New Roman" w:cs="Arial"/>
        </w:rPr>
        <w:t xml:space="preserve"> has only engaged in a minor breach of contract, the </w:t>
      </w:r>
      <w:r w:rsidR="005126C0" w:rsidRPr="00B01541">
        <w:rPr>
          <w:rFonts w:eastAsia="Times New Roman" w:cs="Arial"/>
        </w:rPr>
        <w:t xml:space="preserve">Board of </w:t>
      </w:r>
      <w:r w:rsidR="00B01541" w:rsidRPr="00B01541">
        <w:rPr>
          <w:rFonts w:eastAsia="Times New Roman" w:cs="Arial"/>
        </w:rPr>
        <w:t xml:space="preserve">Trustees </w:t>
      </w:r>
      <w:r w:rsidRPr="00B01541">
        <w:rPr>
          <w:rFonts w:eastAsia="Times New Roman" w:cs="Arial"/>
        </w:rPr>
        <w:t xml:space="preserve">may dictate that </w:t>
      </w:r>
      <w:r w:rsidR="005126C0" w:rsidRPr="00B01541">
        <w:rPr>
          <w:rFonts w:eastAsia="Times New Roman" w:cs="Arial"/>
        </w:rPr>
        <w:t>the contracted party</w:t>
      </w:r>
      <w:r w:rsidRPr="00B01541">
        <w:rPr>
          <w:rFonts w:eastAsia="Times New Roman" w:cs="Arial"/>
        </w:rPr>
        <w:t xml:space="preserve"> be provided a specific amount of time to remedy the breach. </w:t>
      </w:r>
      <w:r w:rsidR="005126C0" w:rsidRPr="00B01541">
        <w:rPr>
          <w:rFonts w:eastAsia="Times New Roman" w:cs="Arial"/>
        </w:rPr>
        <w:t>T</w:t>
      </w:r>
      <w:r w:rsidRPr="00B01541">
        <w:rPr>
          <w:rFonts w:eastAsia="Times New Roman" w:cs="Arial"/>
        </w:rPr>
        <w:t>he breaching party should be allowed time to remedy the problem. Minor breaches are breaches that do not involve the most important aspects of the agreement, such as</w:t>
      </w:r>
      <w:r w:rsidR="00B01541">
        <w:rPr>
          <w:rFonts w:eastAsia="Times New Roman" w:cs="Arial"/>
        </w:rPr>
        <w:t>:</w:t>
      </w:r>
      <w:r w:rsidRPr="00B01541">
        <w:rPr>
          <w:rFonts w:eastAsia="Times New Roman" w:cs="Arial"/>
        </w:rPr>
        <w:t xml:space="preserve"> </w:t>
      </w:r>
      <w:r w:rsidR="00B01541" w:rsidRPr="00B01541">
        <w:rPr>
          <w:rFonts w:eastAsia="Times New Roman" w:cs="Tahoma"/>
        </w:rPr>
        <w:t>abuse or mistreatment of members or other volunteers, failure to communicate on a regular basis, failure t</w:t>
      </w:r>
      <w:r w:rsidR="00B01541" w:rsidRPr="00B01541">
        <w:t>o meet time and task commitments and to provide sufficient notice when not available,</w:t>
      </w:r>
      <w:r w:rsidR="00B01541">
        <w:rPr>
          <w:sz w:val="24"/>
          <w:szCs w:val="24"/>
        </w:rPr>
        <w:t xml:space="preserve"> </w:t>
      </w:r>
      <w:r w:rsidR="005126C0" w:rsidRPr="00AD01AD">
        <w:rPr>
          <w:rFonts w:eastAsia="Times New Roman" w:cs="Arial"/>
        </w:rPr>
        <w:t xml:space="preserve">or the failure to follow </w:t>
      </w:r>
      <w:r w:rsidR="00313104" w:rsidRPr="00AD01AD">
        <w:rPr>
          <w:rFonts w:eastAsia="Times New Roman" w:cs="Arial"/>
        </w:rPr>
        <w:t xml:space="preserve">the </w:t>
      </w:r>
      <w:r w:rsidR="005071BD">
        <w:rPr>
          <w:rFonts w:eastAsia="Times New Roman" w:cs="Arial"/>
        </w:rPr>
        <w:t>CoDA Principles</w:t>
      </w:r>
      <w:r w:rsidR="008B062D">
        <w:rPr>
          <w:rFonts w:eastAsia="Times New Roman" w:cs="Arial"/>
        </w:rPr>
        <w:t xml:space="preserve"> (FSM</w:t>
      </w:r>
      <w:r w:rsidR="00B01541">
        <w:rPr>
          <w:rFonts w:eastAsia="Times New Roman" w:cs="Arial"/>
        </w:rPr>
        <w:t>)</w:t>
      </w:r>
      <w:r w:rsidR="00313104" w:rsidRPr="00AD01AD">
        <w:rPr>
          <w:rFonts w:eastAsia="Times New Roman" w:cs="Arial"/>
        </w:rPr>
        <w:t>.</w:t>
      </w:r>
    </w:p>
    <w:p w:rsidR="008B062D" w:rsidRPr="000E6D10" w:rsidRDefault="008B062D" w:rsidP="005C6FB0">
      <w:pPr>
        <w:rPr>
          <w:rFonts w:eastAsia="Times New Roman" w:cs="Arial"/>
        </w:rPr>
      </w:pPr>
    </w:p>
    <w:p w:rsidR="00336870" w:rsidRPr="00B01541" w:rsidRDefault="00336870" w:rsidP="005C6FB0">
      <w:pPr>
        <w:shd w:val="clear" w:color="auto" w:fill="FFFFFF"/>
        <w:textAlignment w:val="baseline"/>
        <w:outlineLvl w:val="1"/>
        <w:rPr>
          <w:rFonts w:eastAsia="Times New Roman" w:cs="Times New Roman"/>
          <w:b/>
          <w:i/>
          <w:u w:val="single"/>
        </w:rPr>
      </w:pPr>
      <w:r w:rsidRPr="00B01541">
        <w:rPr>
          <w:rFonts w:eastAsia="Times New Roman" w:cs="Times New Roman"/>
          <w:b/>
          <w:i/>
          <w:u w:val="single"/>
        </w:rPr>
        <w:t>Material Breach</w:t>
      </w:r>
    </w:p>
    <w:p w:rsidR="005C6FB0" w:rsidRPr="005C6FB0" w:rsidRDefault="00336870" w:rsidP="005C6FB0">
      <w:pPr>
        <w:shd w:val="clear" w:color="auto" w:fill="FFFFFF"/>
        <w:outlineLvl w:val="2"/>
        <w:rPr>
          <w:rFonts w:eastAsia="Times New Roman" w:cs="Tahoma"/>
        </w:rPr>
      </w:pPr>
      <w:r w:rsidRPr="005C6FB0">
        <w:rPr>
          <w:rFonts w:eastAsia="Times New Roman" w:cs="Arial"/>
        </w:rPr>
        <w:t xml:space="preserve">If </w:t>
      </w:r>
      <w:r w:rsidR="00313104" w:rsidRPr="005C6FB0">
        <w:rPr>
          <w:rFonts w:eastAsia="Times New Roman" w:cs="Arial"/>
        </w:rPr>
        <w:t xml:space="preserve">CoDA determines the contracted </w:t>
      </w:r>
      <w:r w:rsidRPr="005C6FB0">
        <w:rPr>
          <w:rFonts w:eastAsia="Times New Roman" w:cs="Arial"/>
        </w:rPr>
        <w:t>part</w:t>
      </w:r>
      <w:r w:rsidR="00313104" w:rsidRPr="005C6FB0">
        <w:rPr>
          <w:rFonts w:eastAsia="Times New Roman" w:cs="Arial"/>
        </w:rPr>
        <w:t xml:space="preserve">y has </w:t>
      </w:r>
      <w:r w:rsidRPr="005C6FB0">
        <w:rPr>
          <w:rFonts w:eastAsia="Times New Roman" w:cs="Arial"/>
        </w:rPr>
        <w:t>commi</w:t>
      </w:r>
      <w:r w:rsidR="00313104" w:rsidRPr="005C6FB0">
        <w:rPr>
          <w:rFonts w:eastAsia="Times New Roman" w:cs="Arial"/>
        </w:rPr>
        <w:t>t</w:t>
      </w:r>
      <w:r w:rsidRPr="005C6FB0">
        <w:rPr>
          <w:rFonts w:eastAsia="Times New Roman" w:cs="Arial"/>
        </w:rPr>
        <w:t>t</w:t>
      </w:r>
      <w:r w:rsidR="00313104" w:rsidRPr="005C6FB0">
        <w:rPr>
          <w:rFonts w:eastAsia="Times New Roman" w:cs="Arial"/>
        </w:rPr>
        <w:t>ed</w:t>
      </w:r>
      <w:r w:rsidRPr="005C6FB0">
        <w:rPr>
          <w:rFonts w:eastAsia="Times New Roman" w:cs="Arial"/>
        </w:rPr>
        <w:t xml:space="preserve"> a material breach of contract, the terms of the contract </w:t>
      </w:r>
      <w:r w:rsidR="00313104" w:rsidRPr="005C6FB0">
        <w:rPr>
          <w:rFonts w:eastAsia="Times New Roman" w:cs="Arial"/>
        </w:rPr>
        <w:t>will</w:t>
      </w:r>
      <w:r w:rsidRPr="005C6FB0">
        <w:rPr>
          <w:rFonts w:eastAsia="Times New Roman" w:cs="Arial"/>
        </w:rPr>
        <w:t xml:space="preserve"> dictate how the breach will be handled. </w:t>
      </w:r>
      <w:r w:rsidR="00313104" w:rsidRPr="005C6FB0">
        <w:rPr>
          <w:rFonts w:eastAsia="Times New Roman" w:cs="Arial"/>
        </w:rPr>
        <w:t xml:space="preserve">As </w:t>
      </w:r>
      <w:r w:rsidR="005E02ED" w:rsidRPr="005C6FB0">
        <w:rPr>
          <w:rFonts w:eastAsia="Times New Roman" w:cs="Arial"/>
        </w:rPr>
        <w:t xml:space="preserve">outlined </w:t>
      </w:r>
      <w:r w:rsidR="00313104" w:rsidRPr="005C6FB0">
        <w:rPr>
          <w:rFonts w:eastAsia="Times New Roman" w:cs="Arial"/>
        </w:rPr>
        <w:t xml:space="preserve">in each contract, cancellation or termination steps will be taken. </w:t>
      </w:r>
      <w:r w:rsidR="00B01541" w:rsidRPr="005C6FB0">
        <w:rPr>
          <w:rFonts w:eastAsia="Times New Roman" w:cs="Arial"/>
        </w:rPr>
        <w:t xml:space="preserve">Major breaches are breaches that involve the most important aspects of the agreement, such as: </w:t>
      </w:r>
      <w:r w:rsidR="005C6FB0" w:rsidRPr="005C6FB0">
        <w:rPr>
          <w:rFonts w:eastAsia="Times New Roman" w:cs="Tahoma"/>
        </w:rPr>
        <w:t>theft of property or misuse of CoDA materials, blatant non-performance of the scope of services/job description, or gross misconduct.</w:t>
      </w:r>
    </w:p>
    <w:p w:rsidR="00336870" w:rsidRPr="00AD01AD" w:rsidRDefault="00336870" w:rsidP="005C6FB0">
      <w:pPr>
        <w:shd w:val="clear" w:color="auto" w:fill="FFFFFF"/>
        <w:textAlignment w:val="baseline"/>
        <w:rPr>
          <w:rFonts w:eastAsia="Times New Roman" w:cs="Arial"/>
        </w:rPr>
      </w:pPr>
    </w:p>
    <w:p w:rsidR="006D1973" w:rsidRPr="006D1973" w:rsidRDefault="006D1973" w:rsidP="005C6FB0">
      <w:pPr>
        <w:shd w:val="clear" w:color="auto" w:fill="FFFFFF"/>
        <w:textAlignment w:val="baseline"/>
        <w:rPr>
          <w:rFonts w:eastAsia="Times New Roman" w:cs="Arial"/>
          <w:b/>
          <w:sz w:val="24"/>
          <w:szCs w:val="24"/>
        </w:rPr>
      </w:pPr>
      <w:r w:rsidRPr="006D1973">
        <w:rPr>
          <w:rFonts w:eastAsia="Times New Roman" w:cs="Arial"/>
          <w:b/>
          <w:sz w:val="24"/>
          <w:szCs w:val="24"/>
        </w:rPr>
        <w:t>Contract Retention</w:t>
      </w:r>
    </w:p>
    <w:p w:rsidR="005071BD" w:rsidRDefault="006D1973" w:rsidP="00A83367">
      <w:pPr>
        <w:shd w:val="clear" w:color="auto" w:fill="FFFFFF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Contracts will be kept for a period of six </w:t>
      </w:r>
      <w:r w:rsidR="00D01E84">
        <w:rPr>
          <w:rFonts w:eastAsia="Times New Roman" w:cs="Arial"/>
        </w:rPr>
        <w:t xml:space="preserve">months after normal completion </w:t>
      </w:r>
      <w:r>
        <w:rPr>
          <w:rFonts w:eastAsia="Times New Roman" w:cs="Arial"/>
        </w:rPr>
        <w:t>and one year after a termination or early cancellation.</w:t>
      </w:r>
    </w:p>
    <w:sectPr w:rsidR="005071B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1BD" w:rsidRDefault="005071BD" w:rsidP="005071BD">
      <w:r>
        <w:separator/>
      </w:r>
    </w:p>
  </w:endnote>
  <w:endnote w:type="continuationSeparator" w:id="0">
    <w:p w:rsidR="005071BD" w:rsidRDefault="005071BD" w:rsidP="0050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0340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071BD" w:rsidRDefault="005071B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0C6" w:rsidRPr="006150C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071BD" w:rsidRDefault="005071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1BD" w:rsidRDefault="005071BD" w:rsidP="005071BD">
      <w:r>
        <w:separator/>
      </w:r>
    </w:p>
  </w:footnote>
  <w:footnote w:type="continuationSeparator" w:id="0">
    <w:p w:rsidR="005071BD" w:rsidRDefault="005071BD" w:rsidP="00507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6530"/>
    <w:multiLevelType w:val="hybridMultilevel"/>
    <w:tmpl w:val="61D80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2620F"/>
    <w:multiLevelType w:val="hybridMultilevel"/>
    <w:tmpl w:val="404856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369AF"/>
    <w:multiLevelType w:val="hybridMultilevel"/>
    <w:tmpl w:val="3BD4B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BE"/>
    <w:rsid w:val="000C2784"/>
    <w:rsid w:val="000F401E"/>
    <w:rsid w:val="00313104"/>
    <w:rsid w:val="00336870"/>
    <w:rsid w:val="003813D2"/>
    <w:rsid w:val="003D0445"/>
    <w:rsid w:val="00463D2E"/>
    <w:rsid w:val="004B3840"/>
    <w:rsid w:val="004B7474"/>
    <w:rsid w:val="005071BD"/>
    <w:rsid w:val="005126C0"/>
    <w:rsid w:val="005C6FB0"/>
    <w:rsid w:val="005E02ED"/>
    <w:rsid w:val="00606B6D"/>
    <w:rsid w:val="006150C6"/>
    <w:rsid w:val="006D1973"/>
    <w:rsid w:val="007D52BD"/>
    <w:rsid w:val="008A23FC"/>
    <w:rsid w:val="008B062D"/>
    <w:rsid w:val="008E775C"/>
    <w:rsid w:val="00A83367"/>
    <w:rsid w:val="00AD01AD"/>
    <w:rsid w:val="00B01541"/>
    <w:rsid w:val="00BB0D69"/>
    <w:rsid w:val="00BF3E2F"/>
    <w:rsid w:val="00C41328"/>
    <w:rsid w:val="00D01E84"/>
    <w:rsid w:val="00D16ACD"/>
    <w:rsid w:val="00D76431"/>
    <w:rsid w:val="00E96311"/>
    <w:rsid w:val="00EB4774"/>
    <w:rsid w:val="00F8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FD1D40-9307-4F6C-A479-F993F021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8BE"/>
    <w:pPr>
      <w:ind w:left="720"/>
      <w:contextualSpacing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507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1BD"/>
  </w:style>
  <w:style w:type="paragraph" w:styleId="Footer">
    <w:name w:val="footer"/>
    <w:basedOn w:val="Normal"/>
    <w:link w:val="FooterChar"/>
    <w:uiPriority w:val="99"/>
    <w:unhideWhenUsed/>
    <w:rsid w:val="00507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1BD"/>
  </w:style>
  <w:style w:type="paragraph" w:styleId="BalloonText">
    <w:name w:val="Balloon Text"/>
    <w:basedOn w:val="Normal"/>
    <w:link w:val="BalloonTextChar"/>
    <w:uiPriority w:val="99"/>
    <w:semiHidden/>
    <w:unhideWhenUsed/>
    <w:rsid w:val="005071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user</cp:lastModifiedBy>
  <cp:revision>4</cp:revision>
  <cp:lastPrinted>2016-06-18T15:36:00Z</cp:lastPrinted>
  <dcterms:created xsi:type="dcterms:W3CDTF">2015-03-12T00:18:00Z</dcterms:created>
  <dcterms:modified xsi:type="dcterms:W3CDTF">2016-06-18T15:36:00Z</dcterms:modified>
</cp:coreProperties>
</file>