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Nombre del Comité: __Comité de Finanzas_</w:t>
      </w:r>
      <w:r w:rsidDel="00000000" w:rsidR="00000000" w:rsidRPr="00000000">
        <w:rPr>
          <w:b w:val="1"/>
          <w:sz w:val="28"/>
          <w:szCs w:val="28"/>
          <w:rtl w:val="0"/>
        </w:rPr>
        <w:t xml:space="preserve">__________</w:t>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C">
      <w:pPr>
        <w:spacing w:after="240" w:before="240" w:lineRule="auto"/>
        <w:rPr>
          <w:b w:val="1"/>
          <w:sz w:val="28"/>
          <w:szCs w:val="28"/>
        </w:rPr>
      </w:pPr>
      <w:r w:rsidDel="00000000" w:rsidR="00000000" w:rsidRPr="00000000">
        <w:rPr>
          <w:b w:val="1"/>
          <w:sz w:val="28"/>
          <w:szCs w:val="28"/>
          <w:rtl w:val="0"/>
        </w:rPr>
        <w:t xml:space="preserve">Fecha de presentación: _______4/29/24_________________</w:t>
      </w:r>
    </w:p>
    <w:p w:rsidR="00000000" w:rsidDel="00000000" w:rsidP="00000000" w:rsidRDefault="00000000" w:rsidRPr="00000000" w14:paraId="0000000D">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E">
      <w:pPr>
        <w:numPr>
          <w:ilvl w:val="0"/>
          <w:numId w:val="1"/>
        </w:numPr>
        <w:spacing w:after="0" w:afterAutospacing="0"/>
        <w:ind w:left="720" w:hanging="360"/>
      </w:pPr>
      <w:r w:rsidDel="00000000" w:rsidR="00000000" w:rsidRPr="00000000">
        <w:rPr>
          <w:b w:val="1"/>
          <w:rtl w:val="0"/>
        </w:rPr>
        <w:t xml:space="preserve">Las mociones </w:t>
      </w:r>
      <w:r w:rsidDel="00000000" w:rsidR="00000000" w:rsidRPr="00000000">
        <w:rPr>
          <w:rtl w:val="0"/>
        </w:rPr>
        <w:t xml:space="preserve">deben presentarse </w:t>
      </w:r>
      <w:r w:rsidDel="00000000" w:rsidR="00000000" w:rsidRPr="00000000">
        <w:rPr>
          <w:b w:val="1"/>
          <w:rtl w:val="0"/>
        </w:rPr>
        <w:t xml:space="preserve">75 días antes de la CSC</w:t>
      </w:r>
      <w:r w:rsidDel="00000000" w:rsidR="00000000" w:rsidRPr="00000000">
        <w:rPr>
          <w:rtl w:val="0"/>
        </w:rPr>
        <w:t xml:space="preserve">, que este año es el miércoles </w:t>
      </w:r>
      <w:r w:rsidDel="00000000" w:rsidR="00000000" w:rsidRPr="00000000">
        <w:rPr>
          <w:b w:val="1"/>
          <w:rtl w:val="0"/>
        </w:rPr>
        <w:t xml:space="preserve">8 de mayo de 2024.</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b w:val="1"/>
          <w:rtl w:val="0"/>
        </w:rPr>
        <w:t xml:space="preserve">Los cambios/reformas a los estatutos</w:t>
      </w:r>
      <w:r w:rsidDel="00000000" w:rsidR="00000000" w:rsidRPr="00000000">
        <w:rPr>
          <w:rtl w:val="0"/>
        </w:rPr>
        <w:t xml:space="preserve"> deben presentarse 75 días antes del CSC, que para este año es el</w:t>
      </w:r>
      <w:r w:rsidDel="00000000" w:rsidR="00000000" w:rsidRPr="00000000">
        <w:rPr>
          <w:b w:val="1"/>
          <w:rtl w:val="0"/>
        </w:rPr>
        <w:t xml:space="preserve"> miércoles 8 de mayo de 2024</w:t>
      </w:r>
      <w:r w:rsidDel="00000000" w:rsidR="00000000" w:rsidRPr="00000000">
        <w:rPr>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u w:val="single"/>
            <w:rtl w:val="0"/>
          </w:rPr>
          <w:t xml:space="preserve"> secretary@coda.org.</w:t>
        </w:r>
      </w:hyperlink>
      <w:r w:rsidDel="00000000" w:rsidR="00000000" w:rsidRPr="00000000">
        <w:rPr>
          <w:rtl w:val="0"/>
        </w:rPr>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b w:val="1"/>
          <w:rtl w:val="0"/>
        </w:rPr>
        <w:t xml:space="preserve">Las revisiones </w:t>
      </w:r>
      <w:r w:rsidDel="00000000" w:rsidR="00000000" w:rsidRPr="00000000">
        <w:rPr>
          <w:rtl w:val="0"/>
        </w:rPr>
        <w:t xml:space="preserve">deben ser enviadas </w:t>
      </w:r>
      <w:r w:rsidDel="00000000" w:rsidR="00000000" w:rsidRPr="00000000">
        <w:rPr>
          <w:b w:val="1"/>
          <w:rtl w:val="0"/>
        </w:rPr>
        <w:t xml:space="preserve">60 días </w:t>
      </w:r>
      <w:r w:rsidDel="00000000" w:rsidR="00000000" w:rsidRPr="00000000">
        <w:rPr>
          <w:rtl w:val="0"/>
        </w:rPr>
        <w:t xml:space="preserve">antes del CSC, que este año es e</w:t>
      </w:r>
      <w:r w:rsidDel="00000000" w:rsidR="00000000" w:rsidRPr="00000000">
        <w:rPr>
          <w:b w:val="1"/>
          <w:rtl w:val="0"/>
        </w:rPr>
        <w:t xml:space="preserve">l jueves 23 de mayo de 2024.</w:t>
      </w:r>
    </w:p>
    <w:p w:rsidR="00000000" w:rsidDel="00000000" w:rsidP="00000000" w:rsidRDefault="00000000" w:rsidRPr="00000000" w14:paraId="00000011">
      <w:pPr>
        <w:spacing w:after="240" w:before="240" w:line="335.99999999999994" w:lineRule="auto"/>
        <w:rPr>
          <w:b w:val="1"/>
          <w:sz w:val="28"/>
          <w:szCs w:val="28"/>
        </w:rPr>
      </w:pPr>
      <w:r w:rsidDel="00000000" w:rsidR="00000000" w:rsidRPr="00000000">
        <w:rPr>
          <w:b w:val="1"/>
          <w:sz w:val="28"/>
          <w:szCs w:val="28"/>
          <w:rtl w:val="0"/>
        </w:rPr>
        <w:t xml:space="preserve">Número de moción: 1. ( ) 2. ( ) 3. ( ) 4.( X) 5. ( ) (Marque una)</w:t>
      </w:r>
    </w:p>
    <w:p w:rsidR="00000000" w:rsidDel="00000000" w:rsidP="00000000" w:rsidRDefault="00000000" w:rsidRPr="00000000" w14:paraId="00000012">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13">
      <w:pPr>
        <w:spacing w:after="240" w:before="240" w:lineRule="auto"/>
        <w:rPr>
          <w:b w:val="1"/>
          <w:sz w:val="28"/>
          <w:szCs w:val="28"/>
        </w:rPr>
      </w:pPr>
      <w:r w:rsidDel="00000000" w:rsidR="00000000" w:rsidRPr="00000000">
        <w:rPr>
          <w:b w:val="1"/>
          <w:sz w:val="28"/>
          <w:szCs w:val="28"/>
          <w:rtl w:val="0"/>
        </w:rPr>
        <w:t xml:space="preserve">Nota:</w:t>
      </w:r>
      <w:r w:rsidDel="00000000" w:rsidR="00000000" w:rsidRPr="00000000">
        <w:rPr>
          <w:sz w:val="28"/>
          <w:szCs w:val="28"/>
          <w:rtl w:val="0"/>
        </w:rPr>
        <w:t xml:space="preserve"> </w:t>
      </w:r>
      <w:r w:rsidDel="00000000" w:rsidR="00000000" w:rsidRPr="00000000">
        <w:rPr>
          <w:rtl w:val="0"/>
        </w:rPr>
        <w:t xml:space="preserve">Por favor, absténgase de utilizar acrónimos de CoDA como EV, CEC, CAM, etc. al rellenar este formulario a menos que haga una referencia como: Comité de Eventos de CoDA (CEC) entonces utilice CEC.</w:t>
      </w: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Nombre de la moción: __Presupuesto 2025 para CoDA Internacional __</w:t>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pPr>
      <w:r w:rsidDel="00000000" w:rsidR="00000000" w:rsidRPr="00000000">
        <w:rPr>
          <w:b w:val="1"/>
          <w:sz w:val="28"/>
          <w:szCs w:val="28"/>
          <w:rtl w:val="0"/>
        </w:rPr>
        <w:t xml:space="preserve">Moción </w:t>
      </w:r>
      <w:r w:rsidDel="00000000" w:rsidR="00000000" w:rsidRPr="00000000">
        <w:rPr>
          <w:b w:val="1"/>
          <w:rtl w:val="0"/>
        </w:rPr>
        <w:t xml:space="preserve">–</w:t>
      </w:r>
      <w:r w:rsidDel="00000000" w:rsidR="00000000" w:rsidRPr="00000000">
        <w:rPr>
          <w:rtl w:val="0"/>
        </w:rPr>
        <w:t xml:space="preserve">En esta sección escriba exactamente de qué se trata la moción. NO adjunte ningún archivo. (Si la moción es para cambiar algo en el MSF, asegúrese de escribir exactamente cómo debe aparecer la redacción en el MSF): </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spacing w:after="160" w:lineRule="auto"/>
        <w:rPr>
          <w:sz w:val="28"/>
          <w:szCs w:val="28"/>
        </w:rPr>
      </w:pPr>
      <w:r w:rsidDel="00000000" w:rsidR="00000000" w:rsidRPr="00000000">
        <w:rPr>
          <w:sz w:val="28"/>
          <w:szCs w:val="28"/>
          <w:rtl w:val="0"/>
        </w:rPr>
        <w:t xml:space="preserve">Proponemos que la Conferencia de Servicio de CoDA (CSC) apruebe el siguiente presupuesto 2025 para CoDA, Inc:</w:t>
      </w:r>
    </w:p>
    <w:p w:rsidR="00000000" w:rsidDel="00000000" w:rsidP="00000000" w:rsidRDefault="00000000" w:rsidRPr="00000000" w14:paraId="00000019">
      <w:pPr>
        <w:spacing w:after="160" w:lineRule="auto"/>
        <w:rPr>
          <w:sz w:val="28"/>
          <w:szCs w:val="28"/>
        </w:rPr>
      </w:pPr>
      <w:r w:rsidDel="00000000" w:rsidR="00000000" w:rsidRPr="00000000">
        <w:rPr>
          <w:sz w:val="28"/>
          <w:szCs w:val="28"/>
          <w:rtl w:val="0"/>
        </w:rPr>
        <w:t xml:space="preserve">[Todas las cifras están en $USD]</w:t>
      </w:r>
    </w:p>
    <w:p w:rsidR="00000000" w:rsidDel="00000000" w:rsidP="00000000" w:rsidRDefault="00000000" w:rsidRPr="00000000" w14:paraId="0000001A">
      <w:pPr>
        <w:spacing w:after="160" w:lineRule="auto"/>
        <w:rPr>
          <w:sz w:val="28"/>
          <w:szCs w:val="28"/>
        </w:rPr>
      </w:pPr>
      <w:r w:rsidDel="00000000" w:rsidR="00000000" w:rsidRPr="00000000">
        <w:rPr>
          <w:sz w:val="28"/>
          <w:szCs w:val="28"/>
          <w:rtl w:val="0"/>
        </w:rPr>
        <w:t xml:space="preserve">$280.000 dólares de ingresos estimados en 2025 </w:t>
      </w:r>
    </w:p>
    <w:p w:rsidR="00000000" w:rsidDel="00000000" w:rsidP="00000000" w:rsidRDefault="00000000" w:rsidRPr="00000000" w14:paraId="0000001B">
      <w:pPr>
        <w:spacing w:after="160" w:lineRule="auto"/>
        <w:rPr>
          <w:sz w:val="28"/>
          <w:szCs w:val="28"/>
        </w:rPr>
      </w:pPr>
      <w:r w:rsidDel="00000000" w:rsidR="00000000" w:rsidRPr="00000000">
        <w:rPr>
          <w:sz w:val="28"/>
          <w:szCs w:val="28"/>
          <w:rtl w:val="0"/>
        </w:rPr>
        <w:t xml:space="preserve"> -$165.000 dólares para gastos generales de 2025  </w:t>
      </w:r>
    </w:p>
    <w:p w:rsidR="00000000" w:rsidDel="00000000" w:rsidP="00000000" w:rsidRDefault="00000000" w:rsidRPr="00000000" w14:paraId="0000001C">
      <w:pPr>
        <w:spacing w:after="160" w:lineRule="auto"/>
        <w:rPr>
          <w:sz w:val="28"/>
          <w:szCs w:val="28"/>
        </w:rPr>
      </w:pPr>
      <w:r w:rsidDel="00000000" w:rsidR="00000000" w:rsidRPr="00000000">
        <w:rPr>
          <w:sz w:val="28"/>
          <w:szCs w:val="28"/>
          <w:rtl w:val="0"/>
        </w:rPr>
        <w:t xml:space="preserve"> -$127,000 para gastos de la CSC en 2025 </w:t>
      </w:r>
    </w:p>
    <w:p w:rsidR="00000000" w:rsidDel="00000000" w:rsidP="00000000" w:rsidRDefault="00000000" w:rsidRPr="00000000" w14:paraId="0000001D">
      <w:pPr>
        <w:spacing w:after="160" w:lineRule="auto"/>
        <w:rPr>
          <w:sz w:val="28"/>
          <w:szCs w:val="28"/>
        </w:rPr>
      </w:pPr>
      <w:r w:rsidDel="00000000" w:rsidR="00000000" w:rsidRPr="00000000">
        <w:rPr>
          <w:sz w:val="28"/>
          <w:szCs w:val="28"/>
          <w:rtl w:val="0"/>
        </w:rPr>
        <w:t xml:space="preserve"> -$ </w:t>
      </w:r>
      <w:r w:rsidDel="00000000" w:rsidR="00000000" w:rsidRPr="00000000">
        <w:rPr>
          <w:sz w:val="28"/>
          <w:szCs w:val="28"/>
          <w:u w:val="single"/>
          <w:rtl w:val="0"/>
        </w:rPr>
        <w:t xml:space="preserve">55,000</w:t>
      </w:r>
      <w:r w:rsidDel="00000000" w:rsidR="00000000" w:rsidRPr="00000000">
        <w:rPr>
          <w:sz w:val="28"/>
          <w:szCs w:val="28"/>
          <w:rtl w:val="0"/>
        </w:rPr>
        <w:t xml:space="preserve"> para gastos de reuniones Face-to-Face en 2025 </w:t>
      </w:r>
    </w:p>
    <w:p w:rsidR="00000000" w:rsidDel="00000000" w:rsidP="00000000" w:rsidRDefault="00000000" w:rsidRPr="00000000" w14:paraId="0000001E">
      <w:pPr>
        <w:spacing w:after="160" w:lineRule="auto"/>
        <w:rPr>
          <w:sz w:val="28"/>
          <w:szCs w:val="28"/>
        </w:rPr>
      </w:pPr>
      <w:r w:rsidDel="00000000" w:rsidR="00000000" w:rsidRPr="00000000">
        <w:rPr>
          <w:sz w:val="28"/>
          <w:szCs w:val="28"/>
          <w:rtl w:val="0"/>
        </w:rPr>
        <w:t xml:space="preserve">-$347,000  Total de gastos estimados para 2025</w:t>
      </w:r>
    </w:p>
    <w:p w:rsidR="00000000" w:rsidDel="00000000" w:rsidP="00000000" w:rsidRDefault="00000000" w:rsidRPr="00000000" w14:paraId="0000001F">
      <w:pPr>
        <w:spacing w:after="160" w:lineRule="auto"/>
        <w:rPr>
          <w:sz w:val="28"/>
          <w:szCs w:val="28"/>
        </w:rPr>
      </w:pPr>
      <w:r w:rsidDel="00000000" w:rsidR="00000000" w:rsidRPr="00000000">
        <w:rPr>
          <w:sz w:val="28"/>
          <w:szCs w:val="28"/>
          <w:rtl w:val="0"/>
        </w:rPr>
        <w:t xml:space="preserve">     -$67,000 déficit puede ser pagado con el excedente de la reserva prudencial de CoDA </w:t>
      </w:r>
    </w:p>
    <w:p w:rsidR="00000000" w:rsidDel="00000000" w:rsidP="00000000" w:rsidRDefault="00000000" w:rsidRPr="00000000" w14:paraId="00000020">
      <w:pPr>
        <w:spacing w:after="160" w:lineRule="auto"/>
        <w:rPr>
          <w:sz w:val="28"/>
          <w:szCs w:val="28"/>
        </w:rPr>
      </w:pPr>
      <w:r w:rsidDel="00000000" w:rsidR="00000000" w:rsidRPr="00000000">
        <w:rPr>
          <w:sz w:val="28"/>
          <w:szCs w:val="28"/>
          <w:rtl w:val="0"/>
        </w:rPr>
        <w:t xml:space="preserve">En mayo de 2024, teníamos $90.000 dólares por arriba de la reserva prudencial de $250.000 dólares. </w:t>
      </w:r>
    </w:p>
    <w:p w:rsidR="00000000" w:rsidDel="00000000" w:rsidP="00000000" w:rsidRDefault="00000000" w:rsidRPr="00000000" w14:paraId="00000021">
      <w:pPr>
        <w:spacing w:after="160" w:lineRule="auto"/>
        <w:rPr>
          <w:sz w:val="28"/>
          <w:szCs w:val="28"/>
        </w:rPr>
      </w:pPr>
      <w:r w:rsidDel="00000000" w:rsidR="00000000" w:rsidRPr="00000000">
        <w:rPr>
          <w:rtl w:val="0"/>
        </w:rPr>
      </w:r>
    </w:p>
    <w:p w:rsidR="00000000" w:rsidDel="00000000" w:rsidP="00000000" w:rsidRDefault="00000000" w:rsidRPr="00000000" w14:paraId="00000022">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Fonts w:ascii="Times" w:cs="Times" w:eastAsia="Times" w:hAnsi="Times"/>
          <w:b w:val="1"/>
          <w:sz w:val="28"/>
          <w:szCs w:val="28"/>
          <w:rtl w:val="0"/>
        </w:rPr>
        <w:t xml:space="preserve">Observaciones: </w:t>
      </w: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Fonts w:ascii="Times" w:cs="Times" w:eastAsia="Times" w:hAnsi="Times"/>
          <w:b w:val="1"/>
          <w:sz w:val="28"/>
          <w:szCs w:val="28"/>
          <w:rtl w:val="0"/>
        </w:rPr>
        <w:t xml:space="preserve">¿Cuál es el impacto financiero de esta moción en el presupuesto de CoDA este año y en años futuros?</w:t>
      </w:r>
      <w:r w:rsidDel="00000000" w:rsidR="00000000" w:rsidRPr="00000000">
        <w:rPr>
          <w:rFonts w:ascii="Times" w:cs="Times" w:eastAsia="Times" w:hAnsi="Times"/>
          <w:b w:val="1"/>
          <w:rtl w:val="0"/>
        </w:rPr>
        <w:t xml:space="preserve"> </w:t>
      </w:r>
      <w:r w:rsidDel="00000000" w:rsidR="00000000" w:rsidRPr="00000000">
        <w:rPr>
          <w:sz w:val="28"/>
          <w:szCs w:val="28"/>
          <w:rtl w:val="0"/>
        </w:rPr>
        <w:t xml:space="preserve"> ¡Este es el presupuesto!</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Estas cifras son la mejor estimación debido a los problemas encontrados para obtener informes precisos del programa de contabilidad y a un cambio en el plan contable.</w:t>
      </w:r>
    </w:p>
    <w:p w:rsidR="00000000" w:rsidDel="00000000" w:rsidP="00000000" w:rsidRDefault="00000000" w:rsidRPr="00000000" w14:paraId="00000028">
      <w:pPr>
        <w:rPr>
          <w:sz w:val="28"/>
          <w:szCs w:val="28"/>
        </w:rPr>
      </w:pPr>
      <w:r w:rsidDel="00000000" w:rsidR="00000000" w:rsidRPr="00000000">
        <w:rPr>
          <w:sz w:val="28"/>
          <w:szCs w:val="28"/>
          <w:rtl w:val="0"/>
        </w:rPr>
        <w:t xml:space="preserve"> </w:t>
      </w:r>
    </w:p>
    <w:p w:rsidR="00000000" w:rsidDel="00000000" w:rsidP="00000000" w:rsidRDefault="00000000" w:rsidRPr="00000000" w14:paraId="00000029">
      <w:pPr>
        <w:rPr>
          <w:sz w:val="28"/>
          <w:szCs w:val="28"/>
        </w:rPr>
      </w:pPr>
      <w:r w:rsidDel="00000000" w:rsidR="00000000" w:rsidRPr="00000000">
        <w:rPr>
          <w:sz w:val="28"/>
          <w:szCs w:val="28"/>
          <w:rtl w:val="0"/>
        </w:rPr>
        <w:t xml:space="preserve">Sin una revisión de nuestra definición de Reserva prudencial, es importante que los gastos se aproximen a los ingresos previstos para 2025.  Nuestra reserva prudencial para 2025 es:  No disponible. [Debido a la falta de disponibilidad de los informes, el Comité de Finanzas no ha podido establecer la reserva prudencial basándose en los gastos de 2022 y 2023].</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Es probable que el Presupuesto para 2026 tenga que estar mucho más cerca de los ingresos que en los últimos años.  Es posible que sea necesaria una lluvia de ideas para reducir costos.  El Comité de Finanzas sugiere estas posibles formas de reducir gastos:</w:t>
      </w:r>
    </w:p>
    <w:p w:rsidR="00000000" w:rsidDel="00000000" w:rsidP="00000000" w:rsidRDefault="00000000" w:rsidRPr="00000000" w14:paraId="0000002C">
      <w:pPr>
        <w:rPr>
          <w:sz w:val="28"/>
          <w:szCs w:val="28"/>
        </w:rPr>
      </w:pPr>
      <w:r w:rsidDel="00000000" w:rsidR="00000000" w:rsidRPr="00000000">
        <w:rPr>
          <w:sz w:val="28"/>
          <w:szCs w:val="28"/>
          <w:rtl w:val="0"/>
        </w:rPr>
        <w:t xml:space="preserve">Reducir el número de reuniones presenciales al año tanto para los Comités como para la Junta Directiva, </w:t>
      </w:r>
    </w:p>
    <w:p w:rsidR="00000000" w:rsidDel="00000000" w:rsidP="00000000" w:rsidRDefault="00000000" w:rsidRPr="00000000" w14:paraId="0000002D">
      <w:pPr>
        <w:rPr>
          <w:sz w:val="28"/>
          <w:szCs w:val="28"/>
        </w:rPr>
      </w:pPr>
      <w:r w:rsidDel="00000000" w:rsidR="00000000" w:rsidRPr="00000000">
        <w:rPr>
          <w:sz w:val="28"/>
          <w:szCs w:val="28"/>
          <w:rtl w:val="0"/>
        </w:rPr>
        <w:t xml:space="preserve">Alternar los Coordinadores que asisten a la Conferencia de Servicio de CoDA en persona, </w:t>
      </w:r>
    </w:p>
    <w:p w:rsidR="00000000" w:rsidDel="00000000" w:rsidP="00000000" w:rsidRDefault="00000000" w:rsidRPr="00000000" w14:paraId="0000002E">
      <w:pPr>
        <w:rPr>
          <w:sz w:val="28"/>
          <w:szCs w:val="28"/>
        </w:rPr>
      </w:pPr>
      <w:r w:rsidDel="00000000" w:rsidR="00000000" w:rsidRPr="00000000">
        <w:rPr>
          <w:sz w:val="28"/>
          <w:szCs w:val="28"/>
          <w:rtl w:val="0"/>
        </w:rPr>
        <w:t xml:space="preserve">Reducir la cantidad de interpretación pagada por CoDA, </w:t>
      </w:r>
    </w:p>
    <w:p w:rsidR="00000000" w:rsidDel="00000000" w:rsidP="00000000" w:rsidRDefault="00000000" w:rsidRPr="00000000" w14:paraId="0000002F">
      <w:pPr>
        <w:rPr>
          <w:sz w:val="28"/>
          <w:szCs w:val="28"/>
        </w:rPr>
      </w:pPr>
      <w:r w:rsidDel="00000000" w:rsidR="00000000" w:rsidRPr="00000000">
        <w:rPr>
          <w:sz w:val="28"/>
          <w:szCs w:val="28"/>
          <w:rtl w:val="0"/>
        </w:rPr>
        <w:t xml:space="preserve">Planificar con antelación los viajes para obtener las mejores tarifas económicas,</w:t>
      </w:r>
    </w:p>
    <w:p w:rsidR="00000000" w:rsidDel="00000000" w:rsidP="00000000" w:rsidRDefault="00000000" w:rsidRPr="00000000" w14:paraId="00000030">
      <w:pPr>
        <w:rPr>
          <w:sz w:val="28"/>
          <w:szCs w:val="28"/>
        </w:rPr>
      </w:pPr>
      <w:r w:rsidDel="00000000" w:rsidR="00000000" w:rsidRPr="00000000">
        <w:rPr>
          <w:sz w:val="28"/>
          <w:szCs w:val="28"/>
          <w:rtl w:val="0"/>
        </w:rPr>
        <w:t xml:space="preserve">Pensar en las posibles consecuencias de las decisiones financieras,</w:t>
      </w:r>
    </w:p>
    <w:p w:rsidR="00000000" w:rsidDel="00000000" w:rsidP="00000000" w:rsidRDefault="00000000" w:rsidRPr="00000000" w14:paraId="00000031">
      <w:pPr>
        <w:rPr>
          <w:sz w:val="28"/>
          <w:szCs w:val="28"/>
        </w:rPr>
      </w:pPr>
      <w:r w:rsidDel="00000000" w:rsidR="00000000" w:rsidRPr="00000000">
        <w:rPr>
          <w:sz w:val="28"/>
          <w:szCs w:val="28"/>
          <w:rtl w:val="0"/>
        </w:rPr>
        <w:t xml:space="preserve">etc.</w:t>
      </w:r>
    </w:p>
    <w:p w:rsidR="00000000" w:rsidDel="00000000" w:rsidP="00000000" w:rsidRDefault="00000000" w:rsidRPr="00000000" w14:paraId="00000032">
      <w:pPr>
        <w:rPr>
          <w:sz w:val="28"/>
          <w:szCs w:val="28"/>
        </w:rPr>
      </w:pPr>
      <w:r w:rsidDel="00000000" w:rsidR="00000000" w:rsidRPr="00000000">
        <w:rPr>
          <w:sz w:val="28"/>
          <w:szCs w:val="28"/>
          <w:rtl w:val="0"/>
        </w:rPr>
        <w:t xml:space="preserve">Se agradecen otras sugerencias. Envíelas a finance@coda.org </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widowControl w:val="0"/>
        <w:spacing w:after="120" w:before="120" w:line="216"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spacing w:after="120" w:before="120" w:line="216" w:lineRule="auto"/>
        <w:ind w:left="720" w:firstLine="0"/>
        <w:rPr>
          <w:sz w:val="20"/>
          <w:szCs w:val="20"/>
        </w:rPr>
      </w:pPr>
      <w:r w:rsidDel="00000000" w:rsidR="00000000" w:rsidRPr="00000000">
        <w:rPr>
          <w:b w:val="1"/>
          <w:sz w:val="28"/>
          <w:szCs w:val="28"/>
          <w:rtl w:val="0"/>
        </w:rPr>
        <w:t xml:space="preserve">__Estatutos de CoDA: Página/Sección# _________________</w:t>
      </w:r>
      <w:r w:rsidDel="00000000" w:rsidR="00000000" w:rsidRPr="00000000">
        <w:rPr>
          <w:rtl w:val="0"/>
        </w:rPr>
      </w:r>
    </w:p>
    <w:p w:rsidR="00000000" w:rsidDel="00000000" w:rsidP="00000000" w:rsidRDefault="00000000" w:rsidRPr="00000000" w14:paraId="0000003B">
      <w:pPr>
        <w:spacing w:after="120" w:before="120" w:line="120" w:lineRule="auto"/>
        <w:ind w:left="720" w:firstLine="0"/>
        <w:rPr>
          <w:sz w:val="20"/>
          <w:szCs w:val="20"/>
        </w:rPr>
      </w:pPr>
      <w:r w:rsidDel="00000000" w:rsidR="00000000" w:rsidRPr="00000000">
        <w:rPr>
          <w:b w:val="1"/>
          <w:sz w:val="28"/>
          <w:szCs w:val="28"/>
          <w:rtl w:val="0"/>
        </w:rPr>
        <w:t xml:space="preserve">____MSF Parte 1 - Estructura e información general: Sección #_________</w:t>
      </w:r>
      <w:r w:rsidDel="00000000" w:rsidR="00000000" w:rsidRPr="00000000">
        <w:rPr>
          <w:rtl w:val="0"/>
        </w:rPr>
      </w:r>
    </w:p>
    <w:p w:rsidR="00000000" w:rsidDel="00000000" w:rsidP="00000000" w:rsidRDefault="00000000" w:rsidRPr="00000000" w14:paraId="0000003C">
      <w:pPr>
        <w:spacing w:after="120" w:before="120" w:line="120" w:lineRule="auto"/>
        <w:ind w:left="720" w:firstLine="0"/>
        <w:rPr>
          <w:sz w:val="20"/>
          <w:szCs w:val="20"/>
        </w:rPr>
      </w:pPr>
      <w:r w:rsidDel="00000000" w:rsidR="00000000" w:rsidRPr="00000000">
        <w:rPr>
          <w:b w:val="1"/>
          <w:sz w:val="28"/>
          <w:szCs w:val="28"/>
          <w:rtl w:val="0"/>
        </w:rPr>
        <w:t xml:space="preserve">____MSF Parte 2 - Manual de reuniones: Sección #_____________</w:t>
      </w:r>
      <w:r w:rsidDel="00000000" w:rsidR="00000000" w:rsidRPr="00000000">
        <w:rPr>
          <w:rtl w:val="0"/>
        </w:rPr>
      </w:r>
    </w:p>
    <w:p w:rsidR="00000000" w:rsidDel="00000000" w:rsidP="00000000" w:rsidRDefault="00000000" w:rsidRPr="00000000" w14:paraId="0000003D">
      <w:pPr>
        <w:spacing w:after="120" w:before="120" w:line="120" w:lineRule="auto"/>
        <w:rPr>
          <w:sz w:val="20"/>
          <w:szCs w:val="20"/>
        </w:rPr>
      </w:pPr>
      <w:r w:rsidDel="00000000" w:rsidR="00000000" w:rsidRPr="00000000">
        <w:rPr>
          <w:b w:val="1"/>
          <w:sz w:val="28"/>
          <w:szCs w:val="28"/>
          <w:rtl w:val="0"/>
        </w:rPr>
        <w:t xml:space="preserve">          ____MSF Parte 3 - Directrices para otros niveles de servicio: Sección#___ </w:t>
      </w:r>
      <w:r w:rsidDel="00000000" w:rsidR="00000000" w:rsidRPr="00000000">
        <w:rPr>
          <w:rtl w:val="0"/>
        </w:rPr>
      </w:r>
    </w:p>
    <w:p w:rsidR="00000000" w:rsidDel="00000000" w:rsidP="00000000" w:rsidRDefault="00000000" w:rsidRPr="00000000" w14:paraId="0000003E">
      <w:pPr>
        <w:spacing w:after="120" w:before="120" w:line="120" w:lineRule="auto"/>
        <w:ind w:left="720" w:firstLine="0"/>
        <w:rPr>
          <w:sz w:val="20"/>
          <w:szCs w:val="20"/>
        </w:rPr>
      </w:pPr>
      <w:r w:rsidDel="00000000" w:rsidR="00000000" w:rsidRPr="00000000">
        <w:rPr>
          <w:b w:val="1"/>
          <w:sz w:val="28"/>
          <w:szCs w:val="28"/>
          <w:rtl w:val="0"/>
        </w:rPr>
        <w:t xml:space="preserve">____MSF Parte 4 - Procedimientos de la Conferencia de Servicio: Sección# _____________</w:t>
      </w:r>
      <w:r w:rsidDel="00000000" w:rsidR="00000000" w:rsidRPr="00000000">
        <w:rPr>
          <w:rtl w:val="0"/>
        </w:rPr>
      </w:r>
    </w:p>
    <w:p w:rsidR="00000000" w:rsidDel="00000000" w:rsidP="00000000" w:rsidRDefault="00000000" w:rsidRPr="00000000" w14:paraId="0000003F">
      <w:pPr>
        <w:spacing w:after="120" w:before="120" w:line="120" w:lineRule="auto"/>
        <w:ind w:left="720" w:firstLine="0"/>
        <w:rPr>
          <w:sz w:val="20"/>
          <w:szCs w:val="20"/>
        </w:rPr>
      </w:pPr>
      <w:r w:rsidDel="00000000" w:rsidR="00000000" w:rsidRPr="00000000">
        <w:rPr>
          <w:b w:val="1"/>
          <w:sz w:val="28"/>
          <w:szCs w:val="28"/>
          <w:rtl w:val="0"/>
        </w:rPr>
        <w:t xml:space="preserve">____MSF Parte 5 - Detalles del servicio a nivel mundial: Sección # _______________</w:t>
      </w:r>
      <w:r w:rsidDel="00000000" w:rsidR="00000000" w:rsidRPr="00000000">
        <w:rPr>
          <w:rtl w:val="0"/>
        </w:rPr>
      </w:r>
    </w:p>
    <w:p w:rsidR="00000000" w:rsidDel="00000000" w:rsidP="00000000" w:rsidRDefault="00000000" w:rsidRPr="00000000" w14:paraId="00000040">
      <w:pPr>
        <w:spacing w:after="120" w:before="120" w:line="120" w:lineRule="auto"/>
        <w:ind w:left="720" w:firstLine="0"/>
        <w:rPr>
          <w:sz w:val="20"/>
          <w:szCs w:val="20"/>
        </w:rPr>
      </w:pPr>
      <w:r w:rsidDel="00000000" w:rsidR="00000000" w:rsidRPr="00000000">
        <w:rPr>
          <w:b w:val="1"/>
          <w:sz w:val="28"/>
          <w:szCs w:val="28"/>
          <w:rtl w:val="0"/>
        </w:rPr>
        <w:t xml:space="preserve">____Cambio de Responsabilidades: ________________________________________</w:t>
      </w:r>
      <w:r w:rsidDel="00000000" w:rsidR="00000000" w:rsidRPr="00000000">
        <w:rPr>
          <w:rtl w:val="0"/>
        </w:rPr>
      </w:r>
    </w:p>
    <w:p w:rsidR="00000000" w:rsidDel="00000000" w:rsidP="00000000" w:rsidRDefault="00000000" w:rsidRPr="00000000" w14:paraId="00000041">
      <w:pPr>
        <w:spacing w:after="120" w:before="120" w:line="120" w:lineRule="auto"/>
        <w:ind w:left="720" w:firstLine="0"/>
        <w:rPr>
          <w:b w:val="1"/>
          <w:sz w:val="28"/>
          <w:szCs w:val="28"/>
        </w:rPr>
      </w:pPr>
      <w:r w:rsidDel="00000000" w:rsidR="00000000" w:rsidRPr="00000000">
        <w:rPr>
          <w:b w:val="1"/>
          <w:sz w:val="28"/>
          <w:szCs w:val="28"/>
          <w:rtl w:val="0"/>
        </w:rPr>
        <w:t xml:space="preserve">____Otros:__Modificar los formularios de futuras mociones para la </w:t>
      </w:r>
    </w:p>
    <w:p w:rsidR="00000000" w:rsidDel="00000000" w:rsidP="00000000" w:rsidRDefault="00000000" w:rsidRPr="00000000" w14:paraId="00000042">
      <w:pPr>
        <w:spacing w:after="120" w:before="120" w:line="120" w:lineRule="auto"/>
        <w:ind w:left="720" w:firstLine="0"/>
        <w:rPr>
          <w:sz w:val="20"/>
          <w:szCs w:val="20"/>
        </w:rPr>
      </w:pPr>
      <w:r w:rsidDel="00000000" w:rsidR="00000000" w:rsidRPr="00000000">
        <w:rPr>
          <w:b w:val="1"/>
          <w:sz w:val="28"/>
          <w:szCs w:val="28"/>
          <w:rtl w:val="0"/>
        </w:rPr>
        <w:t xml:space="preserve">Conferencia de Servicio de CoDA ____</w:t>
      </w: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ind w:left="720" w:firstLine="0"/>
        <w:rPr>
          <w:b w:val="1"/>
          <w:sz w:val="28"/>
          <w:szCs w:val="28"/>
        </w:rPr>
      </w:pPr>
      <w:r w:rsidDel="00000000" w:rsidR="00000000" w:rsidRPr="00000000">
        <w:rPr>
          <w:b w:val="1"/>
          <w:sz w:val="28"/>
          <w:szCs w:val="28"/>
          <w:rtl w:val="0"/>
        </w:rPr>
        <w:t xml:space="preserve">Detalles específicos:</w:t>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ind w:left="720" w:firstLine="0"/>
        <w:rPr>
          <w:b w:val="1"/>
          <w:sz w:val="28"/>
          <w:szCs w:val="28"/>
        </w:rPr>
      </w:pPr>
      <w:r w:rsidDel="00000000" w:rsidR="00000000" w:rsidRPr="00000000">
        <w:rPr>
          <w:b w:val="1"/>
          <w:sz w:val="28"/>
          <w:szCs w:val="28"/>
          <w:rtl w:val="0"/>
        </w:rPr>
        <w:t xml:space="preserve">Sección # y título:</w:t>
      </w:r>
    </w:p>
    <w:p w:rsidR="00000000" w:rsidDel="00000000" w:rsidP="00000000" w:rsidRDefault="00000000" w:rsidRPr="00000000" w14:paraId="00000047">
      <w:pPr>
        <w:ind w:left="720" w:firstLine="0"/>
        <w:rPr>
          <w:b w:val="1"/>
          <w:sz w:val="28"/>
          <w:szCs w:val="28"/>
        </w:rPr>
      </w:pPr>
      <w:r w:rsidDel="00000000" w:rsidR="00000000" w:rsidRPr="00000000">
        <w:rPr>
          <w:b w:val="1"/>
          <w:sz w:val="28"/>
          <w:szCs w:val="28"/>
          <w:rtl w:val="0"/>
        </w:rPr>
        <w:t xml:space="preserve">Copiar y pegar del MSF más reciente en coda.org/es</w:t>
      </w:r>
    </w:p>
    <w:p w:rsidR="00000000" w:rsidDel="00000000" w:rsidP="00000000" w:rsidRDefault="00000000" w:rsidRPr="00000000" w14:paraId="00000048">
      <w:pPr>
        <w:rPr>
          <w:b w:val="1"/>
          <w:sz w:val="28"/>
          <w:szCs w:val="28"/>
        </w:rPr>
      </w:pPr>
      <w:r w:rsidDel="00000000" w:rsidR="00000000" w:rsidRPr="00000000">
        <w:rPr>
          <w:rtl w:val="0"/>
        </w:rPr>
      </w:r>
    </w:p>
    <w:p w:rsidR="00000000" w:rsidDel="00000000" w:rsidP="00000000" w:rsidRDefault="00000000" w:rsidRPr="00000000" w14:paraId="00000049">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9">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0">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4B">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1">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4C">
      <w:pPr>
        <w:spacing w:after="120" w:before="120" w:lineRule="auto"/>
        <w:rPr/>
      </w:pPr>
      <w:r w:rsidDel="00000000" w:rsidR="00000000" w:rsidRPr="00000000">
        <w:rPr>
          <w:rtl w:val="0"/>
        </w:rPr>
      </w:r>
    </w:p>
    <w:p w:rsidR="00000000" w:rsidDel="00000000" w:rsidP="00000000" w:rsidRDefault="00000000" w:rsidRPr="00000000" w14:paraId="0000004D">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4E">
      <w:pPr>
        <w:spacing w:after="120" w:lineRule="auto"/>
        <w:rPr/>
      </w:pPr>
      <w:r w:rsidDel="00000000" w:rsidR="00000000" w:rsidRPr="00000000">
        <w:rPr>
          <w:rtl w:val="0"/>
        </w:rPr>
      </w:r>
    </w:p>
    <w:p w:rsidR="00000000" w:rsidDel="00000000" w:rsidP="00000000" w:rsidRDefault="00000000" w:rsidRPr="00000000" w14:paraId="0000004F">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rtl w:val="0"/>
        </w:rPr>
      </w:r>
    </w:p>
    <w:p w:rsidR="00000000" w:rsidDel="00000000" w:rsidP="00000000" w:rsidRDefault="00000000" w:rsidRPr="00000000" w14:paraId="00000051">
      <w:pPr>
        <w:rPr>
          <w:b w:val="1"/>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rtl w:val="0"/>
        </w:rPr>
      </w:r>
    </w:p>
    <w:sectPr>
      <w:footerReference r:id="rId12"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character" w:styleId="normaltextrun" w:customStyle="1">
    <w:name w:val="normaltextrun"/>
    <w:basedOn w:val="DefaultParagraphFont"/>
    <w:rsid w:val="00770030"/>
  </w:style>
  <w:style w:type="paragraph" w:styleId="paragraph" w:customStyle="1">
    <w:name w:val="paragraph"/>
    <w:basedOn w:val="Normal"/>
    <w:rsid w:val="00770030"/>
    <w:pPr>
      <w:spacing w:after="100" w:afterAutospacing="1" w:before="100" w:beforeAutospacing="1"/>
    </w:pPr>
  </w:style>
  <w:style w:type="character" w:styleId="tabchar" w:customStyle="1">
    <w:name w:val="tabchar"/>
    <w:basedOn w:val="DefaultParagraphFont"/>
    <w:rsid w:val="00770030"/>
  </w:style>
  <w:style w:type="character" w:styleId="eop" w:customStyle="1">
    <w:name w:val="eop"/>
    <w:basedOn w:val="DefaultParagraphFont"/>
    <w:rsid w:val="0077003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oard@CoDA.org" TargetMode="External"/><Relationship Id="rId10" Type="http://schemas.openxmlformats.org/officeDocument/2006/relationships/hyperlink" Target="mailto:secretary@coda.org" TargetMode="External"/><Relationship Id="rId12" Type="http://schemas.openxmlformats.org/officeDocument/2006/relationships/footer" Target="footer1.xml"/><Relationship Id="rId9" Type="http://schemas.openxmlformats.org/officeDocument/2006/relationships/hyperlink" Target="mailto:submitcsc@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64XjcamD/xei5y1Hfqzt23GyWw==">CgMxLjA4AHIhMXcwUnc3OU5mZ1Y1VkRCR25hTERJajBIdEZNYWhrTWtL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2024-05-07T22:59:00Z</dcterms:created>
  <dc:creator>Owner</dc:creator>
</cp:coreProperties>
</file>