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____ Moción presentada por: </w:t>
      </w:r>
      <w:r w:rsidDel="00000000" w:rsidR="00000000" w:rsidRPr="00000000">
        <w:rPr>
          <w:sz w:val="28"/>
          <w:szCs w:val="28"/>
          <w:rtl w:val="0"/>
        </w:rPr>
        <w:t xml:space="preserve">( Comité )</w:t>
      </w:r>
    </w:p>
    <w:p w:rsidR="00000000" w:rsidDel="00000000" w:rsidP="00000000" w:rsidRDefault="00000000" w:rsidRPr="00000000" w14:paraId="00000009">
      <w:pPr>
        <w:spacing w:after="240" w:lineRule="auto"/>
        <w:jc w:val="center"/>
        <w:rPr>
          <w:b w:val="1"/>
          <w:sz w:val="28"/>
          <w:szCs w:val="28"/>
        </w:rPr>
      </w:pPr>
      <w:r w:rsidDel="00000000" w:rsidR="00000000" w:rsidRPr="00000000">
        <w:rPr>
          <w:sz w:val="28"/>
          <w:szCs w:val="28"/>
          <w:rtl w:val="0"/>
        </w:rPr>
        <w:t xml:space="preserve">Nombre del Comité: ___</w:t>
      </w:r>
      <w:r w:rsidDel="00000000" w:rsidR="00000000" w:rsidRPr="00000000">
        <w:rPr>
          <w:b w:val="1"/>
          <w:sz w:val="28"/>
          <w:szCs w:val="28"/>
          <w:rtl w:val="0"/>
        </w:rPr>
        <w:t xml:space="preserve">__________</w:t>
      </w:r>
    </w:p>
    <w:p w:rsidR="00000000" w:rsidDel="00000000" w:rsidP="00000000" w:rsidRDefault="00000000" w:rsidRPr="00000000" w14:paraId="0000000A">
      <w:pPr>
        <w:spacing w:before="240" w:lineRule="auto"/>
        <w:rPr>
          <w:sz w:val="28"/>
          <w:szCs w:val="28"/>
        </w:rPr>
      </w:pPr>
      <w:r w:rsidDel="00000000" w:rsidR="00000000" w:rsidRPr="00000000">
        <w:rPr>
          <w:b w:val="1"/>
          <w:sz w:val="28"/>
          <w:szCs w:val="28"/>
          <w:rtl w:val="0"/>
        </w:rPr>
        <w:t xml:space="preserve">                      _X_ 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                           Nombre de la Entidad de Voto:___ Entidad Votante CoDA Texas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b w:val="1"/>
          <w:sz w:val="28"/>
          <w:szCs w:val="28"/>
          <w:rtl w:val="0"/>
        </w:rPr>
        <w:t xml:space="preserve">Fecha de presentación: _______</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May</w:t>
      </w:r>
      <w:r w:rsidDel="00000000" w:rsidR="00000000" w:rsidRPr="00000000">
        <w:rPr>
          <w:u w:val="singl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6, 2024</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0F">
      <w:pPr>
        <w:numPr>
          <w:ilvl w:val="0"/>
          <w:numId w:val="1"/>
        </w:numPr>
        <w:spacing w:after="0" w:afterAutospacing="0"/>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10">
      <w:pPr>
        <w:numPr>
          <w:ilvl w:val="0"/>
          <w:numId w:val="1"/>
        </w:numPr>
        <w:spacing w:after="0" w:afterAutospacing="0" w:before="0" w:beforeAutospacing="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11">
      <w:pPr>
        <w:numPr>
          <w:ilvl w:val="0"/>
          <w:numId w:val="1"/>
        </w:numPr>
        <w:spacing w:after="240" w:before="0" w:beforeAutospacing="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2">
      <w:pPr>
        <w:spacing w:after="240" w:before="240" w:line="335.99999999999994" w:lineRule="auto"/>
        <w:rPr>
          <w:b w:val="1"/>
          <w:sz w:val="28"/>
          <w:szCs w:val="28"/>
        </w:rPr>
      </w:pPr>
      <w:r w:rsidDel="00000000" w:rsidR="00000000" w:rsidRPr="00000000">
        <w:rPr>
          <w:b w:val="1"/>
          <w:sz w:val="28"/>
          <w:szCs w:val="28"/>
          <w:rtl w:val="0"/>
        </w:rPr>
        <w:t xml:space="preserve">Número de moción: 1. (X) 2. ( ) 3. ( ) 4.( ) 5. ( ) (Marque una)</w:t>
      </w:r>
    </w:p>
    <w:p w:rsidR="00000000" w:rsidDel="00000000" w:rsidP="00000000" w:rsidRDefault="00000000" w:rsidRPr="00000000" w14:paraId="00000013">
      <w:pPr>
        <w:spacing w:after="240" w:before="240" w:line="335.99999999999994" w:lineRule="auto"/>
        <w:rPr>
          <w:b w:val="1"/>
          <w:sz w:val="28"/>
          <w:szCs w:val="28"/>
        </w:rPr>
      </w:pPr>
      <w:r w:rsidDel="00000000" w:rsidR="00000000" w:rsidRPr="00000000">
        <w:rPr>
          <w:b w:val="1"/>
          <w:sz w:val="28"/>
          <w:szCs w:val="28"/>
          <w:rtl w:val="0"/>
        </w:rPr>
        <w:t xml:space="preserve">Revisión #: _____________Fecha de revisión: _________________</w:t>
      </w:r>
    </w:p>
    <w:p w:rsidR="00000000" w:rsidDel="00000000" w:rsidP="00000000" w:rsidRDefault="00000000" w:rsidRPr="00000000" w14:paraId="00000014">
      <w:pPr>
        <w:spacing w:after="240" w:before="240" w:lineRule="auto"/>
        <w:rPr>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CAM, etc. al rellenar este formulario a menos que haga una referencia como: Comité de Eventos de CoDA (CEC) entonces utilice CEC.</w:t>
      </w:r>
    </w:p>
    <w:p w:rsidR="00000000" w:rsidDel="00000000" w:rsidP="00000000" w:rsidRDefault="00000000" w:rsidRPr="00000000" w14:paraId="00000015">
      <w:pPr>
        <w:rPr/>
      </w:pPr>
      <w:r w:rsidDel="00000000" w:rsidR="00000000" w:rsidRPr="00000000">
        <w:rPr>
          <w:b w:val="1"/>
          <w:sz w:val="28"/>
          <w:szCs w:val="28"/>
          <w:rtl w:val="0"/>
        </w:rPr>
        <w:t xml:space="preserve">Nombre de la moción: </w:t>
      </w:r>
      <w:r w:rsidDel="00000000" w:rsidR="00000000" w:rsidRPr="00000000">
        <w:rPr>
          <w:rtl w:val="0"/>
        </w:rPr>
        <w:t xml:space="preserve">Aprobar</w:t>
      </w:r>
      <w:r w:rsidDel="00000000" w:rsidR="00000000" w:rsidRPr="00000000">
        <w:rPr>
          <w:sz w:val="20"/>
          <w:szCs w:val="20"/>
          <w:rtl w:val="0"/>
        </w:rPr>
        <w:t xml:space="preserve"> </w:t>
      </w:r>
      <w:r w:rsidDel="00000000" w:rsidR="00000000" w:rsidRPr="00000000">
        <w:rPr>
          <w:rtl w:val="0"/>
        </w:rPr>
        <w:t xml:space="preserve">la publicación de CoDA Canadá &lt;&lt;Patrones de Recuperación de la Codependencia - Escala de Progreso&gt;&gt; como herramienta de literatura de CoDA Inc.</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color w:val="000000"/>
        </w:rPr>
      </w:pPr>
      <w:bookmarkStart w:colFirst="0" w:colLast="0" w:name="_heading=h.30j0zll" w:id="0"/>
      <w:bookmarkEnd w:id="0"/>
      <w:r w:rsidDel="00000000" w:rsidR="00000000" w:rsidRPr="00000000">
        <w:rPr>
          <w:b w:val="1"/>
          <w:sz w:val="28"/>
          <w:szCs w:val="28"/>
          <w:rtl w:val="0"/>
        </w:rPr>
        <w:t xml:space="preserve">Moción </w:t>
      </w:r>
      <w:r w:rsidDel="00000000" w:rsidR="00000000" w:rsidRPr="00000000">
        <w:rPr>
          <w:b w:val="1"/>
          <w:rtl w:val="0"/>
        </w:rPr>
        <w:t xml:space="preserve">–</w:t>
      </w:r>
      <w:r w:rsidDel="00000000" w:rsidR="00000000" w:rsidRPr="00000000">
        <w:rPr>
          <w:rtl w:val="0"/>
        </w:rPr>
        <w:t xml:space="preserve">Aprobar</w:t>
      </w:r>
      <w:r w:rsidDel="00000000" w:rsidR="00000000" w:rsidRPr="00000000">
        <w:rPr>
          <w:sz w:val="20"/>
          <w:szCs w:val="20"/>
          <w:u w:val="single"/>
          <w:rtl w:val="0"/>
        </w:rPr>
        <w:t xml:space="preserve"> </w:t>
      </w:r>
      <w:r w:rsidDel="00000000" w:rsidR="00000000" w:rsidRPr="00000000">
        <w:rPr>
          <w:u w:val="single"/>
          <w:rtl w:val="0"/>
        </w:rPr>
        <w:t xml:space="preserve">l</w:t>
      </w:r>
      <w:r w:rsidDel="00000000" w:rsidR="00000000" w:rsidRPr="00000000">
        <w:rPr>
          <w:rtl w:val="0"/>
        </w:rPr>
        <w:t xml:space="preserve">a publicación de CoDA Canadá Patrones de Recuperación de la Codependencia - Escala de Progreso» como herramienta de literatura de CoDA Inc.literatura descargable.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b w:val="1"/>
          <w:sz w:val="28"/>
          <w:szCs w:val="28"/>
          <w:rtl w:val="0"/>
        </w:rPr>
        <w:t xml:space="preserve"> </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CoDA Canadá ofrece una maravillosa herramienta de autoevaluación del Paso 10 «Escala de Progreso» para los Patrones de Recuperación de la Codependencia. Creemos que estas escalas son útiles para mantener la responsabilidad personal y las evaluaciones continuas de inventario para los miembros de Codependientes Anónimos.  También se puede utilizar para evaluaciones de inventario en grupo.   </w:t>
      </w:r>
    </w:p>
    <w:p w:rsidR="00000000" w:rsidDel="00000000" w:rsidP="00000000" w:rsidRDefault="00000000" w:rsidRPr="00000000" w14:paraId="0000001C">
      <w:pPr>
        <w:rPr>
          <w:color w:val="000000"/>
        </w:rPr>
      </w:pPr>
      <w:r w:rsidDel="00000000" w:rsidR="00000000" w:rsidRPr="00000000">
        <w:rPr>
          <w:color w:val="000000"/>
          <w:rtl w:val="0"/>
        </w:rPr>
        <w:t xml:space="preserve">(link:</w:t>
      </w:r>
      <w:hyperlink r:id="rId9">
        <w:r w:rsidDel="00000000" w:rsidR="00000000" w:rsidRPr="00000000">
          <w:rPr>
            <w:color w:val="0000ff"/>
            <w:u w:val="single"/>
            <w:rtl w:val="0"/>
          </w:rPr>
          <w:t xml:space="preserve">https://codacanada.ca/wp-content/uploads/2021/02/Recovery-Patterns-of-Codependence-Progress-Scale.pdf</w:t>
        </w:r>
      </w:hyperlink>
      <w:r w:rsidDel="00000000" w:rsidR="00000000" w:rsidRPr="00000000">
        <w:rPr>
          <w:color w:val="000000"/>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Fonts w:ascii="Times" w:cs="Times" w:eastAsia="Times" w:hAnsi="Times"/>
          <w:b w:val="1"/>
          <w:sz w:val="28"/>
          <w:szCs w:val="28"/>
          <w:rtl w:val="0"/>
        </w:rPr>
        <w:t xml:space="preserve">Observaciones: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Los «Patrones de Recuperación de la Codependencia - Escala de Progreso» de Canadá estarán en línea con las versiones actuales de Patrones de Recuperación de la Codependencia. Todas las versiones se colocarán en línea en coda.org/es en la sección Literatura-Materiales para reuniones del sitio web y en la sección Recursos para miembros-Materiales para reuniones del sitio web.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widowControl w:val="0"/>
        <w:spacing w:after="120" w:before="120" w:line="216"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29">
      <w:pPr>
        <w:spacing w:after="120" w:before="120" w:line="216"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2A">
      <w:pPr>
        <w:spacing w:after="120" w:before="120" w:lin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2B">
      <w:pPr>
        <w:spacing w:after="120" w:before="120" w:line="12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2C">
      <w:pPr>
        <w:spacing w:after="120" w:before="120" w:lin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2D">
      <w:pPr>
        <w:spacing w:after="120" w:before="120" w:lin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2E">
      <w:pPr>
        <w:spacing w:after="120" w:before="120" w:line="120" w:lineRule="auto"/>
        <w:rPr>
          <w:sz w:val="20"/>
          <w:szCs w:val="20"/>
        </w:rPr>
      </w:pPr>
      <w:r w:rsidDel="00000000" w:rsidR="00000000" w:rsidRPr="00000000">
        <w:rPr>
          <w:b w:val="1"/>
          <w:sz w:val="28"/>
          <w:szCs w:val="28"/>
          <w:rtl w:val="0"/>
        </w:rPr>
        <w:t xml:space="preserve">_____MSF</w:t>
      </w:r>
      <w:r w:rsidDel="00000000" w:rsidR="00000000" w:rsidRPr="00000000">
        <w:rPr>
          <w:b w:val="1"/>
          <w:sz w:val="28"/>
          <w:szCs w:val="28"/>
          <w:rtl w:val="0"/>
        </w:rPr>
        <w:t xml:space="preserve"> Parte 5 - Detalles del servicio a nivel mundial: Sección # _______________</w:t>
      </w:r>
      <w:r w:rsidDel="00000000" w:rsidR="00000000" w:rsidRPr="00000000">
        <w:rPr>
          <w:rtl w:val="0"/>
        </w:rPr>
      </w:r>
    </w:p>
    <w:p w:rsidR="00000000" w:rsidDel="00000000" w:rsidP="00000000" w:rsidRDefault="00000000" w:rsidRPr="00000000" w14:paraId="0000002F">
      <w:pPr>
        <w:spacing w:after="120" w:before="120" w:line="12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30">
      <w:pPr>
        <w:spacing w:after="120" w:before="120" w:line="12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31">
      <w:pPr>
        <w:spacing w:after="120" w:before="120" w:line="12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32">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spacing w:before="120" w:lineRule="auto"/>
        <w:rPr>
          <w:sz w:val="20"/>
          <w:szCs w:val="20"/>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 Sección # y título: </w:t>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Copiar y pegar en MSF más reciente disponible en coda.org</w:t>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10">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1">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3B">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2">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3F">
      <w:pPr>
        <w:spacing w:after="120" w:lineRule="auto"/>
        <w:rPr/>
      </w:pPr>
      <w:r w:rsidDel="00000000" w:rsidR="00000000" w:rsidRPr="00000000">
        <w:rPr>
          <w:rtl w:val="0"/>
        </w:rPr>
      </w:r>
    </w:p>
    <w:p w:rsidR="00000000" w:rsidDel="00000000" w:rsidP="00000000" w:rsidRDefault="00000000" w:rsidRPr="00000000" w14:paraId="00000040">
      <w:pPr>
        <w:spacing w:after="120" w:lineRule="auto"/>
        <w:rPr>
          <w:b w:val="1"/>
          <w:sz w:val="28"/>
          <w:szCs w:val="28"/>
          <w:u w:val="single"/>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sectPr>
      <w:footerReference r:id="rId13"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y@coda.org" TargetMode="External"/><Relationship Id="rId10" Type="http://schemas.openxmlformats.org/officeDocument/2006/relationships/hyperlink" Target="mailto:submitcsc@coda.org" TargetMode="External"/><Relationship Id="rId13" Type="http://schemas.openxmlformats.org/officeDocument/2006/relationships/footer" Target="footer1.xml"/><Relationship Id="rId12" Type="http://schemas.openxmlformats.org/officeDocument/2006/relationships/hyperlink" Target="mailto:Board@CoD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acanada.ca/wp-content/uploads/2021/02/Recovery-Patterns-of-Codependence-Progress-Scal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GacJpd+iUFUebm+Q5mPEG4QKA==">CgMxLjAyCWguMzBqMHpsbDgAciExaHl0NzE0TV9JcDlXOFB0dGNsamdERVlHMTBlNUdtQzc=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2024-05-07T15:38:00Z</dcterms:created>
  <dc:creator>Owner</dc:creator>
</cp:coreProperties>
</file>